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EDFFC" w14:textId="77777777" w:rsidR="00D65F29" w:rsidRPr="00AD24B5" w:rsidRDefault="00D65F29" w:rsidP="00981B88">
      <w:pPr>
        <w:jc w:val="center"/>
        <w:rPr>
          <w:rFonts w:ascii="仿宋" w:eastAsia="仿宋" w:hAnsi="仿宋"/>
          <w:b/>
          <w:sz w:val="52"/>
          <w:szCs w:val="28"/>
        </w:rPr>
      </w:pPr>
    </w:p>
    <w:p w14:paraId="5923C6D3" w14:textId="77777777" w:rsidR="00D65F29" w:rsidRDefault="00D65F29" w:rsidP="00981B88">
      <w:pPr>
        <w:jc w:val="center"/>
        <w:rPr>
          <w:rFonts w:ascii="仿宋" w:eastAsia="仿宋" w:hAnsi="仿宋"/>
          <w:b/>
          <w:sz w:val="52"/>
          <w:szCs w:val="28"/>
        </w:rPr>
      </w:pPr>
    </w:p>
    <w:p w14:paraId="54AE5283" w14:textId="77777777" w:rsidR="008E2FD7" w:rsidRPr="00AD24B5" w:rsidRDefault="008E2FD7" w:rsidP="00981B88">
      <w:pPr>
        <w:jc w:val="center"/>
        <w:rPr>
          <w:rFonts w:ascii="仿宋" w:eastAsia="仿宋" w:hAnsi="仿宋"/>
          <w:b/>
          <w:sz w:val="52"/>
          <w:szCs w:val="28"/>
        </w:rPr>
      </w:pPr>
    </w:p>
    <w:p w14:paraId="1A805889" w14:textId="77777777" w:rsidR="006A0089" w:rsidRPr="00AD24B5" w:rsidRDefault="006A0089" w:rsidP="001161A1">
      <w:pPr>
        <w:spacing w:line="480" w:lineRule="auto"/>
        <w:jc w:val="center"/>
        <w:rPr>
          <w:rFonts w:ascii="仿宋" w:eastAsia="仿宋" w:hAnsi="仿宋"/>
          <w:b/>
          <w:sz w:val="52"/>
          <w:szCs w:val="28"/>
        </w:rPr>
      </w:pPr>
      <w:r w:rsidRPr="00AD24B5">
        <w:rPr>
          <w:rFonts w:ascii="仿宋" w:eastAsia="仿宋" w:hAnsi="仿宋" w:hint="eastAsia"/>
          <w:b/>
          <w:sz w:val="52"/>
          <w:szCs w:val="28"/>
        </w:rPr>
        <w:t>化学药品</w:t>
      </w:r>
      <w:r w:rsidR="00981B88" w:rsidRPr="00AD24B5">
        <w:rPr>
          <w:rFonts w:ascii="仿宋" w:eastAsia="仿宋" w:hAnsi="仿宋" w:hint="eastAsia"/>
          <w:b/>
          <w:sz w:val="52"/>
          <w:szCs w:val="28"/>
        </w:rPr>
        <w:t>非处方药</w:t>
      </w:r>
      <w:r w:rsidR="00C32A34" w:rsidRPr="00AD24B5">
        <w:rPr>
          <w:rFonts w:ascii="仿宋" w:eastAsia="仿宋" w:hAnsi="仿宋" w:hint="eastAsia"/>
          <w:b/>
          <w:sz w:val="52"/>
          <w:szCs w:val="28"/>
        </w:rPr>
        <w:t>上市注册</w:t>
      </w:r>
    </w:p>
    <w:p w14:paraId="4C8F654B" w14:textId="48D14394" w:rsidR="00981B88" w:rsidRPr="00AD24B5" w:rsidRDefault="00FF0557" w:rsidP="001161A1">
      <w:pPr>
        <w:spacing w:line="480" w:lineRule="auto"/>
        <w:jc w:val="center"/>
        <w:rPr>
          <w:rFonts w:ascii="仿宋" w:eastAsia="仿宋" w:hAnsi="仿宋"/>
          <w:b/>
          <w:sz w:val="52"/>
          <w:szCs w:val="28"/>
        </w:rPr>
      </w:pPr>
      <w:r w:rsidRPr="00AD24B5">
        <w:rPr>
          <w:rFonts w:ascii="仿宋" w:eastAsia="仿宋" w:hAnsi="仿宋"/>
          <w:b/>
          <w:sz w:val="52"/>
          <w:szCs w:val="28"/>
        </w:rPr>
        <w:t>技术指导原则</w:t>
      </w:r>
    </w:p>
    <w:p w14:paraId="342DC384" w14:textId="36554B35" w:rsidR="00D65F29" w:rsidRPr="00AD24B5" w:rsidRDefault="00502024" w:rsidP="001161A1">
      <w:pPr>
        <w:spacing w:line="480" w:lineRule="auto"/>
        <w:jc w:val="center"/>
        <w:rPr>
          <w:rFonts w:ascii="仿宋" w:eastAsia="仿宋" w:hAnsi="仿宋"/>
          <w:b/>
          <w:sz w:val="36"/>
          <w:szCs w:val="28"/>
        </w:rPr>
      </w:pPr>
      <w:r w:rsidRPr="00AD24B5">
        <w:rPr>
          <w:rFonts w:ascii="仿宋" w:eastAsia="仿宋" w:hAnsi="仿宋" w:hint="eastAsia"/>
          <w:b/>
          <w:sz w:val="36"/>
          <w:szCs w:val="28"/>
        </w:rPr>
        <w:t>（征求意见稿）</w:t>
      </w:r>
    </w:p>
    <w:p w14:paraId="5AB26D8D" w14:textId="77777777" w:rsidR="00D65F29" w:rsidRPr="00AD24B5" w:rsidRDefault="00D65F29" w:rsidP="001161A1">
      <w:pPr>
        <w:spacing w:line="480" w:lineRule="auto"/>
        <w:jc w:val="center"/>
        <w:rPr>
          <w:rFonts w:ascii="仿宋" w:eastAsia="仿宋" w:hAnsi="仿宋"/>
          <w:b/>
          <w:sz w:val="52"/>
          <w:szCs w:val="28"/>
        </w:rPr>
      </w:pPr>
    </w:p>
    <w:p w14:paraId="65AFFF88" w14:textId="77777777" w:rsidR="00502024" w:rsidRPr="00AD24B5" w:rsidRDefault="00502024" w:rsidP="00981B88">
      <w:pPr>
        <w:jc w:val="center"/>
        <w:rPr>
          <w:rFonts w:ascii="仿宋" w:eastAsia="仿宋" w:hAnsi="仿宋"/>
          <w:b/>
          <w:sz w:val="52"/>
          <w:szCs w:val="28"/>
        </w:rPr>
      </w:pPr>
    </w:p>
    <w:p w14:paraId="70D21537" w14:textId="77777777" w:rsidR="00502024" w:rsidRPr="00AD24B5" w:rsidRDefault="00502024" w:rsidP="00981B88">
      <w:pPr>
        <w:jc w:val="center"/>
        <w:rPr>
          <w:rFonts w:ascii="仿宋" w:eastAsia="仿宋" w:hAnsi="仿宋"/>
          <w:b/>
          <w:sz w:val="52"/>
          <w:szCs w:val="28"/>
        </w:rPr>
      </w:pPr>
    </w:p>
    <w:p w14:paraId="363243E9" w14:textId="77777777" w:rsidR="001161A1" w:rsidRPr="00AD24B5" w:rsidRDefault="001161A1" w:rsidP="00981B88">
      <w:pPr>
        <w:jc w:val="center"/>
        <w:rPr>
          <w:rFonts w:ascii="仿宋" w:eastAsia="仿宋" w:hAnsi="仿宋"/>
          <w:b/>
          <w:sz w:val="52"/>
          <w:szCs w:val="28"/>
        </w:rPr>
      </w:pPr>
    </w:p>
    <w:p w14:paraId="4684C5EF" w14:textId="77777777" w:rsidR="00502024" w:rsidRPr="00AD24B5" w:rsidRDefault="00502024" w:rsidP="00981B88">
      <w:pPr>
        <w:jc w:val="center"/>
        <w:rPr>
          <w:rFonts w:ascii="仿宋" w:eastAsia="仿宋" w:hAnsi="仿宋"/>
          <w:b/>
          <w:sz w:val="52"/>
          <w:szCs w:val="28"/>
        </w:rPr>
      </w:pPr>
    </w:p>
    <w:p w14:paraId="0A21A8D2" w14:textId="4A2417C0" w:rsidR="00D65F29" w:rsidRPr="00AD24B5" w:rsidRDefault="00D65F29" w:rsidP="00D65F29">
      <w:pPr>
        <w:jc w:val="center"/>
        <w:rPr>
          <w:rFonts w:ascii="仿宋" w:eastAsia="仿宋" w:hAnsi="仿宋"/>
          <w:b/>
          <w:sz w:val="36"/>
          <w:szCs w:val="28"/>
        </w:rPr>
      </w:pPr>
      <w:r w:rsidRPr="00AD24B5">
        <w:rPr>
          <w:rFonts w:ascii="仿宋" w:eastAsia="仿宋" w:hAnsi="仿宋" w:hint="eastAsia"/>
          <w:b/>
          <w:sz w:val="36"/>
          <w:szCs w:val="28"/>
        </w:rPr>
        <w:t>国家</w:t>
      </w:r>
      <w:r w:rsidRPr="00AD24B5">
        <w:rPr>
          <w:rFonts w:ascii="仿宋" w:eastAsia="仿宋" w:hAnsi="仿宋"/>
          <w:b/>
          <w:sz w:val="36"/>
          <w:szCs w:val="28"/>
        </w:rPr>
        <w:t>药品监督管理局</w:t>
      </w:r>
    </w:p>
    <w:p w14:paraId="485637A9" w14:textId="1B76487E" w:rsidR="00D65F29" w:rsidRPr="00AD24B5" w:rsidRDefault="00D65F29" w:rsidP="00D65F29">
      <w:pPr>
        <w:jc w:val="center"/>
        <w:rPr>
          <w:rFonts w:ascii="仿宋" w:eastAsia="仿宋" w:hAnsi="仿宋"/>
          <w:b/>
          <w:sz w:val="36"/>
          <w:szCs w:val="28"/>
        </w:rPr>
      </w:pPr>
      <w:r w:rsidRPr="00AD24B5">
        <w:rPr>
          <w:rFonts w:ascii="仿宋" w:eastAsia="仿宋" w:hAnsi="仿宋"/>
          <w:b/>
          <w:sz w:val="36"/>
          <w:szCs w:val="28"/>
        </w:rPr>
        <w:t>2020年</w:t>
      </w:r>
      <w:r w:rsidR="00B026D5">
        <w:rPr>
          <w:rFonts w:ascii="仿宋" w:eastAsia="仿宋" w:hAnsi="仿宋"/>
          <w:b/>
          <w:sz w:val="36"/>
          <w:szCs w:val="28"/>
        </w:rPr>
        <w:t>7</w:t>
      </w:r>
      <w:r w:rsidRPr="00AD24B5">
        <w:rPr>
          <w:rFonts w:ascii="仿宋" w:eastAsia="仿宋" w:hAnsi="仿宋"/>
          <w:b/>
          <w:sz w:val="36"/>
          <w:szCs w:val="28"/>
        </w:rPr>
        <w:t>月</w:t>
      </w:r>
    </w:p>
    <w:p w14:paraId="2EA23127" w14:textId="77777777" w:rsidR="00D65F29" w:rsidRPr="00AD24B5" w:rsidRDefault="00D65F29" w:rsidP="00981B88">
      <w:pPr>
        <w:jc w:val="center"/>
        <w:rPr>
          <w:rFonts w:ascii="仿宋" w:eastAsia="仿宋" w:hAnsi="仿宋"/>
          <w:b/>
          <w:sz w:val="52"/>
          <w:szCs w:val="28"/>
        </w:rPr>
      </w:pPr>
    </w:p>
    <w:p w14:paraId="1F446815" w14:textId="77777777" w:rsidR="00D65F29" w:rsidRPr="00AD24B5" w:rsidRDefault="00D65F29" w:rsidP="00981B88">
      <w:pPr>
        <w:jc w:val="center"/>
        <w:rPr>
          <w:rFonts w:ascii="仿宋" w:eastAsia="仿宋" w:hAnsi="仿宋"/>
          <w:b/>
          <w:sz w:val="52"/>
          <w:szCs w:val="28"/>
        </w:rPr>
      </w:pPr>
    </w:p>
    <w:sdt>
      <w:sdtPr>
        <w:rPr>
          <w:rFonts w:ascii="Times New Roman" w:eastAsia="宋体" w:hAnsi="Times New Roman" w:cs="Times New Roman"/>
          <w:b w:val="0"/>
          <w:bCs w:val="0"/>
          <w:color w:val="auto"/>
          <w:kern w:val="2"/>
          <w:sz w:val="24"/>
          <w:szCs w:val="22"/>
          <w:lang w:val="zh-CN"/>
        </w:rPr>
        <w:id w:val="-2044595376"/>
        <w:docPartObj>
          <w:docPartGallery w:val="Table of Contents"/>
          <w:docPartUnique/>
        </w:docPartObj>
      </w:sdtPr>
      <w:sdtEndPr>
        <w:rPr>
          <w:rFonts w:ascii="仿宋_GB2312" w:eastAsia="仿宋_GB2312" w:hint="eastAsia"/>
          <w:sz w:val="28"/>
          <w:szCs w:val="28"/>
        </w:rPr>
      </w:sdtEndPr>
      <w:sdtContent>
        <w:p w14:paraId="1E0D19DE" w14:textId="0BE29569" w:rsidR="002B4EF8" w:rsidRPr="00AD24B5" w:rsidRDefault="002B4EF8" w:rsidP="00F4667B">
          <w:pPr>
            <w:pStyle w:val="TOC"/>
            <w:spacing w:line="360" w:lineRule="auto"/>
            <w:jc w:val="center"/>
            <w:rPr>
              <w:rFonts w:ascii="仿宋_GB2312" w:eastAsia="仿宋_GB2312" w:hAnsi="仿宋" w:cs="Times New Roman"/>
              <w:bCs w:val="0"/>
              <w:color w:val="auto"/>
              <w:kern w:val="2"/>
              <w:sz w:val="36"/>
            </w:rPr>
          </w:pPr>
          <w:r w:rsidRPr="00AD24B5">
            <w:rPr>
              <w:rFonts w:ascii="仿宋_GB2312" w:eastAsia="仿宋_GB2312" w:hAnsi="仿宋" w:cs="Times New Roman" w:hint="eastAsia"/>
              <w:bCs w:val="0"/>
              <w:color w:val="auto"/>
              <w:kern w:val="2"/>
              <w:sz w:val="36"/>
            </w:rPr>
            <w:t>目录</w:t>
          </w:r>
        </w:p>
        <w:p w14:paraId="37E69A2E" w14:textId="77777777" w:rsidR="00835B84" w:rsidRPr="00AD24B5" w:rsidRDefault="002B4EF8">
          <w:pPr>
            <w:pStyle w:val="12"/>
            <w:tabs>
              <w:tab w:val="right" w:leader="dot" w:pos="8296"/>
            </w:tabs>
            <w:rPr>
              <w:rFonts w:ascii="仿宋_GB2312" w:eastAsia="仿宋_GB2312" w:hAnsiTheme="minorHAnsi" w:cstheme="minorBidi"/>
              <w:noProof/>
              <w:sz w:val="28"/>
              <w:szCs w:val="28"/>
            </w:rPr>
          </w:pPr>
          <w:r w:rsidRPr="00AD24B5">
            <w:rPr>
              <w:rFonts w:ascii="仿宋_GB2312" w:eastAsia="仿宋_GB2312" w:hint="eastAsia"/>
              <w:sz w:val="28"/>
              <w:szCs w:val="28"/>
            </w:rPr>
            <w:fldChar w:fldCharType="begin"/>
          </w:r>
          <w:r w:rsidRPr="00AD24B5">
            <w:rPr>
              <w:rFonts w:ascii="仿宋_GB2312" w:eastAsia="仿宋_GB2312" w:hint="eastAsia"/>
              <w:sz w:val="28"/>
              <w:szCs w:val="28"/>
            </w:rPr>
            <w:instrText xml:space="preserve"> TOC \o "1-3" \h \z \u </w:instrText>
          </w:r>
          <w:r w:rsidRPr="00AD24B5">
            <w:rPr>
              <w:rFonts w:ascii="仿宋_GB2312" w:eastAsia="仿宋_GB2312" w:hint="eastAsia"/>
              <w:sz w:val="28"/>
              <w:szCs w:val="28"/>
            </w:rPr>
            <w:fldChar w:fldCharType="separate"/>
          </w:r>
          <w:hyperlink w:anchor="_Toc44317881" w:history="1">
            <w:r w:rsidR="00835B84" w:rsidRPr="00AD24B5">
              <w:rPr>
                <w:rStyle w:val="af3"/>
                <w:rFonts w:ascii="仿宋_GB2312" w:eastAsia="仿宋_GB2312" w:hAnsi="仿宋" w:hint="eastAsia"/>
                <w:noProof/>
                <w:sz w:val="28"/>
                <w:szCs w:val="28"/>
              </w:rPr>
              <w:t>一、概述</w:t>
            </w:r>
            <w:r w:rsidR="00835B84" w:rsidRPr="00AD24B5">
              <w:rPr>
                <w:rFonts w:ascii="仿宋_GB2312" w:eastAsia="仿宋_GB2312" w:hint="eastAsia"/>
                <w:noProof/>
                <w:webHidden/>
                <w:sz w:val="28"/>
                <w:szCs w:val="28"/>
              </w:rPr>
              <w:tab/>
            </w:r>
            <w:r w:rsidR="00835B84" w:rsidRPr="00AD24B5">
              <w:rPr>
                <w:rFonts w:ascii="仿宋_GB2312" w:eastAsia="仿宋_GB2312" w:hint="eastAsia"/>
                <w:noProof/>
                <w:webHidden/>
                <w:sz w:val="28"/>
                <w:szCs w:val="28"/>
              </w:rPr>
              <w:fldChar w:fldCharType="begin"/>
            </w:r>
            <w:r w:rsidR="00835B84" w:rsidRPr="00AD24B5">
              <w:rPr>
                <w:rFonts w:ascii="仿宋_GB2312" w:eastAsia="仿宋_GB2312" w:hint="eastAsia"/>
                <w:noProof/>
                <w:webHidden/>
                <w:sz w:val="28"/>
                <w:szCs w:val="28"/>
              </w:rPr>
              <w:instrText xml:space="preserve"> PAGEREF _Toc44317881 \h </w:instrText>
            </w:r>
            <w:r w:rsidR="00835B84" w:rsidRPr="00AD24B5">
              <w:rPr>
                <w:rFonts w:ascii="仿宋_GB2312" w:eastAsia="仿宋_GB2312" w:hint="eastAsia"/>
                <w:noProof/>
                <w:webHidden/>
                <w:sz w:val="28"/>
                <w:szCs w:val="28"/>
              </w:rPr>
            </w:r>
            <w:r w:rsidR="00835B84" w:rsidRPr="00AD24B5">
              <w:rPr>
                <w:rFonts w:ascii="仿宋_GB2312" w:eastAsia="仿宋_GB2312" w:hint="eastAsia"/>
                <w:noProof/>
                <w:webHidden/>
                <w:sz w:val="28"/>
                <w:szCs w:val="28"/>
              </w:rPr>
              <w:fldChar w:fldCharType="separate"/>
            </w:r>
            <w:r w:rsidR="00835B84" w:rsidRPr="00AD24B5">
              <w:rPr>
                <w:rFonts w:ascii="仿宋_GB2312" w:eastAsia="仿宋_GB2312"/>
                <w:noProof/>
                <w:webHidden/>
                <w:sz w:val="28"/>
                <w:szCs w:val="28"/>
              </w:rPr>
              <w:t>3</w:t>
            </w:r>
            <w:r w:rsidR="00835B84" w:rsidRPr="00AD24B5">
              <w:rPr>
                <w:rFonts w:ascii="仿宋_GB2312" w:eastAsia="仿宋_GB2312" w:hint="eastAsia"/>
                <w:noProof/>
                <w:webHidden/>
                <w:sz w:val="28"/>
                <w:szCs w:val="28"/>
              </w:rPr>
              <w:fldChar w:fldCharType="end"/>
            </w:r>
          </w:hyperlink>
        </w:p>
        <w:p w14:paraId="24B5B9FE" w14:textId="77777777" w:rsidR="00835B84" w:rsidRPr="00AD24B5" w:rsidRDefault="00512EE1">
          <w:pPr>
            <w:pStyle w:val="12"/>
            <w:tabs>
              <w:tab w:val="right" w:leader="dot" w:pos="8296"/>
            </w:tabs>
            <w:rPr>
              <w:rFonts w:ascii="仿宋_GB2312" w:eastAsia="仿宋_GB2312" w:hAnsiTheme="minorHAnsi" w:cstheme="minorBidi"/>
              <w:noProof/>
              <w:sz w:val="28"/>
              <w:szCs w:val="28"/>
            </w:rPr>
          </w:pPr>
          <w:hyperlink w:anchor="_Toc44317882" w:history="1">
            <w:r w:rsidR="00835B84" w:rsidRPr="00AD24B5">
              <w:rPr>
                <w:rStyle w:val="af3"/>
                <w:rFonts w:ascii="仿宋_GB2312" w:eastAsia="仿宋_GB2312" w:hAnsi="仿宋" w:hint="eastAsia"/>
                <w:noProof/>
                <w:sz w:val="28"/>
                <w:szCs w:val="28"/>
              </w:rPr>
              <w:t>二、</w:t>
            </w:r>
            <w:r w:rsidR="00835B84" w:rsidRPr="00AD24B5">
              <w:rPr>
                <w:rStyle w:val="af3"/>
                <w:rFonts w:ascii="仿宋_GB2312" w:eastAsia="仿宋_GB2312" w:hint="eastAsia"/>
                <w:noProof/>
                <w:sz w:val="28"/>
                <w:szCs w:val="28"/>
              </w:rPr>
              <w:t>总体考虑</w:t>
            </w:r>
            <w:r w:rsidR="00835B84" w:rsidRPr="00AD24B5">
              <w:rPr>
                <w:rFonts w:ascii="仿宋_GB2312" w:eastAsia="仿宋_GB2312" w:hint="eastAsia"/>
                <w:noProof/>
                <w:webHidden/>
                <w:sz w:val="28"/>
                <w:szCs w:val="28"/>
              </w:rPr>
              <w:tab/>
            </w:r>
            <w:r w:rsidR="00835B84" w:rsidRPr="00AD24B5">
              <w:rPr>
                <w:rFonts w:ascii="仿宋_GB2312" w:eastAsia="仿宋_GB2312" w:hint="eastAsia"/>
                <w:noProof/>
                <w:webHidden/>
                <w:sz w:val="28"/>
                <w:szCs w:val="28"/>
              </w:rPr>
              <w:fldChar w:fldCharType="begin"/>
            </w:r>
            <w:r w:rsidR="00835B84" w:rsidRPr="00AD24B5">
              <w:rPr>
                <w:rFonts w:ascii="仿宋_GB2312" w:eastAsia="仿宋_GB2312" w:hint="eastAsia"/>
                <w:noProof/>
                <w:webHidden/>
                <w:sz w:val="28"/>
                <w:szCs w:val="28"/>
              </w:rPr>
              <w:instrText xml:space="preserve"> PAGEREF _Toc44317882 \h </w:instrText>
            </w:r>
            <w:r w:rsidR="00835B84" w:rsidRPr="00AD24B5">
              <w:rPr>
                <w:rFonts w:ascii="仿宋_GB2312" w:eastAsia="仿宋_GB2312" w:hint="eastAsia"/>
                <w:noProof/>
                <w:webHidden/>
                <w:sz w:val="28"/>
                <w:szCs w:val="28"/>
              </w:rPr>
            </w:r>
            <w:r w:rsidR="00835B84" w:rsidRPr="00AD24B5">
              <w:rPr>
                <w:rFonts w:ascii="仿宋_GB2312" w:eastAsia="仿宋_GB2312" w:hint="eastAsia"/>
                <w:noProof/>
                <w:webHidden/>
                <w:sz w:val="28"/>
                <w:szCs w:val="28"/>
              </w:rPr>
              <w:fldChar w:fldCharType="separate"/>
            </w:r>
            <w:r w:rsidR="00835B84" w:rsidRPr="00AD24B5">
              <w:rPr>
                <w:rFonts w:ascii="仿宋_GB2312" w:eastAsia="仿宋_GB2312"/>
                <w:noProof/>
                <w:webHidden/>
                <w:sz w:val="28"/>
                <w:szCs w:val="28"/>
              </w:rPr>
              <w:t>4</w:t>
            </w:r>
            <w:r w:rsidR="00835B84" w:rsidRPr="00AD24B5">
              <w:rPr>
                <w:rFonts w:ascii="仿宋_GB2312" w:eastAsia="仿宋_GB2312" w:hint="eastAsia"/>
                <w:noProof/>
                <w:webHidden/>
                <w:sz w:val="28"/>
                <w:szCs w:val="28"/>
              </w:rPr>
              <w:fldChar w:fldCharType="end"/>
            </w:r>
          </w:hyperlink>
        </w:p>
        <w:p w14:paraId="6AAD1299" w14:textId="77777777" w:rsidR="00835B84" w:rsidRPr="00AD24B5" w:rsidRDefault="00512EE1">
          <w:pPr>
            <w:pStyle w:val="12"/>
            <w:tabs>
              <w:tab w:val="right" w:leader="dot" w:pos="8296"/>
            </w:tabs>
            <w:rPr>
              <w:rFonts w:ascii="仿宋_GB2312" w:eastAsia="仿宋_GB2312" w:hAnsiTheme="minorHAnsi" w:cstheme="minorBidi"/>
              <w:noProof/>
              <w:sz w:val="28"/>
              <w:szCs w:val="28"/>
            </w:rPr>
          </w:pPr>
          <w:hyperlink w:anchor="_Toc44317883" w:history="1">
            <w:r w:rsidR="00835B84" w:rsidRPr="00AD24B5">
              <w:rPr>
                <w:rStyle w:val="af3"/>
                <w:rFonts w:ascii="仿宋_GB2312" w:eastAsia="仿宋_GB2312" w:hint="eastAsia"/>
                <w:noProof/>
                <w:sz w:val="28"/>
                <w:szCs w:val="28"/>
              </w:rPr>
              <w:t>三、技术要求</w:t>
            </w:r>
            <w:r w:rsidR="00835B84" w:rsidRPr="00AD24B5">
              <w:rPr>
                <w:rFonts w:ascii="仿宋_GB2312" w:eastAsia="仿宋_GB2312" w:hint="eastAsia"/>
                <w:noProof/>
                <w:webHidden/>
                <w:sz w:val="28"/>
                <w:szCs w:val="28"/>
              </w:rPr>
              <w:tab/>
            </w:r>
            <w:r w:rsidR="00835B84" w:rsidRPr="00AD24B5">
              <w:rPr>
                <w:rFonts w:ascii="仿宋_GB2312" w:eastAsia="仿宋_GB2312" w:hint="eastAsia"/>
                <w:noProof/>
                <w:webHidden/>
                <w:sz w:val="28"/>
                <w:szCs w:val="28"/>
              </w:rPr>
              <w:fldChar w:fldCharType="begin"/>
            </w:r>
            <w:r w:rsidR="00835B84" w:rsidRPr="00AD24B5">
              <w:rPr>
                <w:rFonts w:ascii="仿宋_GB2312" w:eastAsia="仿宋_GB2312" w:hint="eastAsia"/>
                <w:noProof/>
                <w:webHidden/>
                <w:sz w:val="28"/>
                <w:szCs w:val="28"/>
              </w:rPr>
              <w:instrText xml:space="preserve"> PAGEREF _Toc44317883 \h </w:instrText>
            </w:r>
            <w:r w:rsidR="00835B84" w:rsidRPr="00AD24B5">
              <w:rPr>
                <w:rFonts w:ascii="仿宋_GB2312" w:eastAsia="仿宋_GB2312" w:hint="eastAsia"/>
                <w:noProof/>
                <w:webHidden/>
                <w:sz w:val="28"/>
                <w:szCs w:val="28"/>
              </w:rPr>
            </w:r>
            <w:r w:rsidR="00835B84" w:rsidRPr="00AD24B5">
              <w:rPr>
                <w:rFonts w:ascii="仿宋_GB2312" w:eastAsia="仿宋_GB2312" w:hint="eastAsia"/>
                <w:noProof/>
                <w:webHidden/>
                <w:sz w:val="28"/>
                <w:szCs w:val="28"/>
              </w:rPr>
              <w:fldChar w:fldCharType="separate"/>
            </w:r>
            <w:r w:rsidR="00835B84" w:rsidRPr="00AD24B5">
              <w:rPr>
                <w:rFonts w:ascii="仿宋_GB2312" w:eastAsia="仿宋_GB2312"/>
                <w:noProof/>
                <w:webHidden/>
                <w:sz w:val="28"/>
                <w:szCs w:val="28"/>
              </w:rPr>
              <w:t>4</w:t>
            </w:r>
            <w:r w:rsidR="00835B84" w:rsidRPr="00AD24B5">
              <w:rPr>
                <w:rFonts w:ascii="仿宋_GB2312" w:eastAsia="仿宋_GB2312" w:hint="eastAsia"/>
                <w:noProof/>
                <w:webHidden/>
                <w:sz w:val="28"/>
                <w:szCs w:val="28"/>
              </w:rPr>
              <w:fldChar w:fldCharType="end"/>
            </w:r>
          </w:hyperlink>
        </w:p>
        <w:p w14:paraId="0CAF62CF" w14:textId="77777777" w:rsidR="00835B84" w:rsidRPr="00AD24B5" w:rsidRDefault="00512EE1" w:rsidP="00835B84">
          <w:pPr>
            <w:pStyle w:val="21"/>
            <w:tabs>
              <w:tab w:val="right" w:leader="dot" w:pos="8296"/>
            </w:tabs>
            <w:ind w:left="480"/>
            <w:rPr>
              <w:rFonts w:ascii="仿宋_GB2312" w:eastAsia="仿宋_GB2312" w:hAnsiTheme="minorHAnsi" w:cstheme="minorBidi"/>
              <w:noProof/>
              <w:sz w:val="28"/>
              <w:szCs w:val="28"/>
            </w:rPr>
          </w:pPr>
          <w:hyperlink w:anchor="_Toc44317884" w:history="1">
            <w:r w:rsidR="00835B84" w:rsidRPr="00AD24B5">
              <w:rPr>
                <w:rStyle w:val="af3"/>
                <w:rFonts w:ascii="仿宋_GB2312" w:eastAsia="仿宋_GB2312" w:hAnsi="宋体" w:hint="eastAsia"/>
                <w:noProof/>
                <w:kern w:val="44"/>
                <w:sz w:val="28"/>
                <w:szCs w:val="28"/>
              </w:rPr>
              <w:t>（一）药学研究</w:t>
            </w:r>
            <w:r w:rsidR="00835B84" w:rsidRPr="00AD24B5">
              <w:rPr>
                <w:rFonts w:ascii="仿宋_GB2312" w:eastAsia="仿宋_GB2312" w:hint="eastAsia"/>
                <w:noProof/>
                <w:webHidden/>
                <w:sz w:val="28"/>
                <w:szCs w:val="28"/>
              </w:rPr>
              <w:tab/>
            </w:r>
            <w:r w:rsidR="00835B84" w:rsidRPr="00AD24B5">
              <w:rPr>
                <w:rFonts w:ascii="仿宋_GB2312" w:eastAsia="仿宋_GB2312" w:hint="eastAsia"/>
                <w:noProof/>
                <w:webHidden/>
                <w:sz w:val="28"/>
                <w:szCs w:val="28"/>
              </w:rPr>
              <w:fldChar w:fldCharType="begin"/>
            </w:r>
            <w:r w:rsidR="00835B84" w:rsidRPr="00AD24B5">
              <w:rPr>
                <w:rFonts w:ascii="仿宋_GB2312" w:eastAsia="仿宋_GB2312" w:hint="eastAsia"/>
                <w:noProof/>
                <w:webHidden/>
                <w:sz w:val="28"/>
                <w:szCs w:val="28"/>
              </w:rPr>
              <w:instrText xml:space="preserve"> PAGEREF _Toc44317884 \h </w:instrText>
            </w:r>
            <w:r w:rsidR="00835B84" w:rsidRPr="00AD24B5">
              <w:rPr>
                <w:rFonts w:ascii="仿宋_GB2312" w:eastAsia="仿宋_GB2312" w:hint="eastAsia"/>
                <w:noProof/>
                <w:webHidden/>
                <w:sz w:val="28"/>
                <w:szCs w:val="28"/>
              </w:rPr>
            </w:r>
            <w:r w:rsidR="00835B84" w:rsidRPr="00AD24B5">
              <w:rPr>
                <w:rFonts w:ascii="仿宋_GB2312" w:eastAsia="仿宋_GB2312" w:hint="eastAsia"/>
                <w:noProof/>
                <w:webHidden/>
                <w:sz w:val="28"/>
                <w:szCs w:val="28"/>
              </w:rPr>
              <w:fldChar w:fldCharType="separate"/>
            </w:r>
            <w:r w:rsidR="00835B84" w:rsidRPr="00AD24B5">
              <w:rPr>
                <w:rFonts w:ascii="仿宋_GB2312" w:eastAsia="仿宋_GB2312"/>
                <w:noProof/>
                <w:webHidden/>
                <w:sz w:val="28"/>
                <w:szCs w:val="28"/>
              </w:rPr>
              <w:t>5</w:t>
            </w:r>
            <w:r w:rsidR="00835B84" w:rsidRPr="00AD24B5">
              <w:rPr>
                <w:rFonts w:ascii="仿宋_GB2312" w:eastAsia="仿宋_GB2312" w:hint="eastAsia"/>
                <w:noProof/>
                <w:webHidden/>
                <w:sz w:val="28"/>
                <w:szCs w:val="28"/>
              </w:rPr>
              <w:fldChar w:fldCharType="end"/>
            </w:r>
          </w:hyperlink>
        </w:p>
        <w:p w14:paraId="3F6E4FE7" w14:textId="77777777" w:rsidR="00835B84" w:rsidRPr="00AD24B5" w:rsidRDefault="00512EE1" w:rsidP="00835B84">
          <w:pPr>
            <w:pStyle w:val="21"/>
            <w:tabs>
              <w:tab w:val="right" w:leader="dot" w:pos="8296"/>
            </w:tabs>
            <w:ind w:left="480"/>
            <w:rPr>
              <w:rFonts w:ascii="仿宋_GB2312" w:eastAsia="仿宋_GB2312" w:hAnsiTheme="minorHAnsi" w:cstheme="minorBidi"/>
              <w:noProof/>
              <w:sz w:val="28"/>
              <w:szCs w:val="28"/>
            </w:rPr>
          </w:pPr>
          <w:hyperlink w:anchor="_Toc44317885" w:history="1">
            <w:r w:rsidR="00835B84" w:rsidRPr="00AD24B5">
              <w:rPr>
                <w:rStyle w:val="af3"/>
                <w:rFonts w:ascii="仿宋_GB2312" w:eastAsia="仿宋_GB2312" w:hAnsi="宋体" w:hint="eastAsia"/>
                <w:noProof/>
                <w:kern w:val="44"/>
                <w:sz w:val="28"/>
                <w:szCs w:val="28"/>
              </w:rPr>
              <w:t>（二）药理毒理学研究</w:t>
            </w:r>
            <w:r w:rsidR="00835B84" w:rsidRPr="00AD24B5">
              <w:rPr>
                <w:rFonts w:ascii="仿宋_GB2312" w:eastAsia="仿宋_GB2312" w:hint="eastAsia"/>
                <w:noProof/>
                <w:webHidden/>
                <w:sz w:val="28"/>
                <w:szCs w:val="28"/>
              </w:rPr>
              <w:tab/>
            </w:r>
            <w:r w:rsidR="00835B84" w:rsidRPr="00AD24B5">
              <w:rPr>
                <w:rFonts w:ascii="仿宋_GB2312" w:eastAsia="仿宋_GB2312" w:hint="eastAsia"/>
                <w:noProof/>
                <w:webHidden/>
                <w:sz w:val="28"/>
                <w:szCs w:val="28"/>
              </w:rPr>
              <w:fldChar w:fldCharType="begin"/>
            </w:r>
            <w:r w:rsidR="00835B84" w:rsidRPr="00AD24B5">
              <w:rPr>
                <w:rFonts w:ascii="仿宋_GB2312" w:eastAsia="仿宋_GB2312" w:hint="eastAsia"/>
                <w:noProof/>
                <w:webHidden/>
                <w:sz w:val="28"/>
                <w:szCs w:val="28"/>
              </w:rPr>
              <w:instrText xml:space="preserve"> PAGEREF _Toc44317885 \h </w:instrText>
            </w:r>
            <w:r w:rsidR="00835B84" w:rsidRPr="00AD24B5">
              <w:rPr>
                <w:rFonts w:ascii="仿宋_GB2312" w:eastAsia="仿宋_GB2312" w:hint="eastAsia"/>
                <w:noProof/>
                <w:webHidden/>
                <w:sz w:val="28"/>
                <w:szCs w:val="28"/>
              </w:rPr>
            </w:r>
            <w:r w:rsidR="00835B84" w:rsidRPr="00AD24B5">
              <w:rPr>
                <w:rFonts w:ascii="仿宋_GB2312" w:eastAsia="仿宋_GB2312" w:hint="eastAsia"/>
                <w:noProof/>
                <w:webHidden/>
                <w:sz w:val="28"/>
                <w:szCs w:val="28"/>
              </w:rPr>
              <w:fldChar w:fldCharType="separate"/>
            </w:r>
            <w:r w:rsidR="00835B84" w:rsidRPr="00AD24B5">
              <w:rPr>
                <w:rFonts w:ascii="仿宋_GB2312" w:eastAsia="仿宋_GB2312"/>
                <w:noProof/>
                <w:webHidden/>
                <w:sz w:val="28"/>
                <w:szCs w:val="28"/>
              </w:rPr>
              <w:t>5</w:t>
            </w:r>
            <w:r w:rsidR="00835B84" w:rsidRPr="00AD24B5">
              <w:rPr>
                <w:rFonts w:ascii="仿宋_GB2312" w:eastAsia="仿宋_GB2312" w:hint="eastAsia"/>
                <w:noProof/>
                <w:webHidden/>
                <w:sz w:val="28"/>
                <w:szCs w:val="28"/>
              </w:rPr>
              <w:fldChar w:fldCharType="end"/>
            </w:r>
          </w:hyperlink>
        </w:p>
        <w:p w14:paraId="05FC2D4F" w14:textId="77777777" w:rsidR="00835B84" w:rsidRPr="00AD24B5" w:rsidRDefault="00512EE1" w:rsidP="00835B84">
          <w:pPr>
            <w:pStyle w:val="21"/>
            <w:tabs>
              <w:tab w:val="right" w:leader="dot" w:pos="8296"/>
            </w:tabs>
            <w:ind w:left="480"/>
            <w:rPr>
              <w:rFonts w:ascii="仿宋_GB2312" w:eastAsia="仿宋_GB2312" w:hAnsiTheme="minorHAnsi" w:cstheme="minorBidi"/>
              <w:noProof/>
              <w:sz w:val="28"/>
              <w:szCs w:val="28"/>
            </w:rPr>
          </w:pPr>
          <w:hyperlink w:anchor="_Toc44317886" w:history="1">
            <w:r w:rsidR="00835B84" w:rsidRPr="00AD24B5">
              <w:rPr>
                <w:rStyle w:val="af3"/>
                <w:rFonts w:ascii="仿宋_GB2312" w:eastAsia="仿宋_GB2312" w:hAnsi="宋体" w:hint="eastAsia"/>
                <w:noProof/>
                <w:kern w:val="44"/>
                <w:sz w:val="28"/>
                <w:szCs w:val="28"/>
              </w:rPr>
              <w:t>（三）临床药理学研究</w:t>
            </w:r>
            <w:r w:rsidR="00835B84" w:rsidRPr="00AD24B5">
              <w:rPr>
                <w:rFonts w:ascii="仿宋_GB2312" w:eastAsia="仿宋_GB2312" w:hint="eastAsia"/>
                <w:noProof/>
                <w:webHidden/>
                <w:sz w:val="28"/>
                <w:szCs w:val="28"/>
              </w:rPr>
              <w:tab/>
            </w:r>
            <w:r w:rsidR="00835B84" w:rsidRPr="00AD24B5">
              <w:rPr>
                <w:rFonts w:ascii="仿宋_GB2312" w:eastAsia="仿宋_GB2312" w:hint="eastAsia"/>
                <w:noProof/>
                <w:webHidden/>
                <w:sz w:val="28"/>
                <w:szCs w:val="28"/>
              </w:rPr>
              <w:fldChar w:fldCharType="begin"/>
            </w:r>
            <w:r w:rsidR="00835B84" w:rsidRPr="00AD24B5">
              <w:rPr>
                <w:rFonts w:ascii="仿宋_GB2312" w:eastAsia="仿宋_GB2312" w:hint="eastAsia"/>
                <w:noProof/>
                <w:webHidden/>
                <w:sz w:val="28"/>
                <w:szCs w:val="28"/>
              </w:rPr>
              <w:instrText xml:space="preserve"> PAGEREF _Toc44317886 \h </w:instrText>
            </w:r>
            <w:r w:rsidR="00835B84" w:rsidRPr="00AD24B5">
              <w:rPr>
                <w:rFonts w:ascii="仿宋_GB2312" w:eastAsia="仿宋_GB2312" w:hint="eastAsia"/>
                <w:noProof/>
                <w:webHidden/>
                <w:sz w:val="28"/>
                <w:szCs w:val="28"/>
              </w:rPr>
            </w:r>
            <w:r w:rsidR="00835B84" w:rsidRPr="00AD24B5">
              <w:rPr>
                <w:rFonts w:ascii="仿宋_GB2312" w:eastAsia="仿宋_GB2312" w:hint="eastAsia"/>
                <w:noProof/>
                <w:webHidden/>
                <w:sz w:val="28"/>
                <w:szCs w:val="28"/>
              </w:rPr>
              <w:fldChar w:fldCharType="separate"/>
            </w:r>
            <w:r w:rsidR="00835B84" w:rsidRPr="00AD24B5">
              <w:rPr>
                <w:rFonts w:ascii="仿宋_GB2312" w:eastAsia="仿宋_GB2312"/>
                <w:noProof/>
                <w:webHidden/>
                <w:sz w:val="28"/>
                <w:szCs w:val="28"/>
              </w:rPr>
              <w:t>5</w:t>
            </w:r>
            <w:r w:rsidR="00835B84" w:rsidRPr="00AD24B5">
              <w:rPr>
                <w:rFonts w:ascii="仿宋_GB2312" w:eastAsia="仿宋_GB2312" w:hint="eastAsia"/>
                <w:noProof/>
                <w:webHidden/>
                <w:sz w:val="28"/>
                <w:szCs w:val="28"/>
              </w:rPr>
              <w:fldChar w:fldCharType="end"/>
            </w:r>
          </w:hyperlink>
        </w:p>
        <w:p w14:paraId="3662E1C1" w14:textId="77777777" w:rsidR="00835B84" w:rsidRPr="00AD24B5" w:rsidRDefault="00512EE1" w:rsidP="00835B84">
          <w:pPr>
            <w:pStyle w:val="21"/>
            <w:tabs>
              <w:tab w:val="right" w:leader="dot" w:pos="8296"/>
            </w:tabs>
            <w:ind w:left="480"/>
            <w:rPr>
              <w:rFonts w:ascii="仿宋_GB2312" w:eastAsia="仿宋_GB2312" w:hAnsiTheme="minorHAnsi" w:cstheme="minorBidi"/>
              <w:noProof/>
              <w:sz w:val="28"/>
              <w:szCs w:val="28"/>
            </w:rPr>
          </w:pPr>
          <w:hyperlink w:anchor="_Toc44317887" w:history="1">
            <w:r w:rsidR="00835B84" w:rsidRPr="00AD24B5">
              <w:rPr>
                <w:rStyle w:val="af3"/>
                <w:rFonts w:ascii="仿宋_GB2312" w:eastAsia="仿宋_GB2312" w:hAnsi="宋体" w:hint="eastAsia"/>
                <w:noProof/>
                <w:kern w:val="44"/>
                <w:sz w:val="28"/>
                <w:szCs w:val="28"/>
              </w:rPr>
              <w:t>（四）临床研究</w:t>
            </w:r>
            <w:r w:rsidR="00835B84" w:rsidRPr="00AD24B5">
              <w:rPr>
                <w:rFonts w:ascii="仿宋_GB2312" w:eastAsia="仿宋_GB2312" w:hint="eastAsia"/>
                <w:noProof/>
                <w:webHidden/>
                <w:sz w:val="28"/>
                <w:szCs w:val="28"/>
              </w:rPr>
              <w:tab/>
            </w:r>
            <w:r w:rsidR="00835B84" w:rsidRPr="00AD24B5">
              <w:rPr>
                <w:rFonts w:ascii="仿宋_GB2312" w:eastAsia="仿宋_GB2312" w:hint="eastAsia"/>
                <w:noProof/>
                <w:webHidden/>
                <w:sz w:val="28"/>
                <w:szCs w:val="28"/>
              </w:rPr>
              <w:fldChar w:fldCharType="begin"/>
            </w:r>
            <w:r w:rsidR="00835B84" w:rsidRPr="00AD24B5">
              <w:rPr>
                <w:rFonts w:ascii="仿宋_GB2312" w:eastAsia="仿宋_GB2312" w:hint="eastAsia"/>
                <w:noProof/>
                <w:webHidden/>
                <w:sz w:val="28"/>
                <w:szCs w:val="28"/>
              </w:rPr>
              <w:instrText xml:space="preserve"> PAGEREF _Toc44317887 \h </w:instrText>
            </w:r>
            <w:r w:rsidR="00835B84" w:rsidRPr="00AD24B5">
              <w:rPr>
                <w:rFonts w:ascii="仿宋_GB2312" w:eastAsia="仿宋_GB2312" w:hint="eastAsia"/>
                <w:noProof/>
                <w:webHidden/>
                <w:sz w:val="28"/>
                <w:szCs w:val="28"/>
              </w:rPr>
            </w:r>
            <w:r w:rsidR="00835B84" w:rsidRPr="00AD24B5">
              <w:rPr>
                <w:rFonts w:ascii="仿宋_GB2312" w:eastAsia="仿宋_GB2312" w:hint="eastAsia"/>
                <w:noProof/>
                <w:webHidden/>
                <w:sz w:val="28"/>
                <w:szCs w:val="28"/>
              </w:rPr>
              <w:fldChar w:fldCharType="separate"/>
            </w:r>
            <w:r w:rsidR="00835B84" w:rsidRPr="00AD24B5">
              <w:rPr>
                <w:rFonts w:ascii="仿宋_GB2312" w:eastAsia="仿宋_GB2312"/>
                <w:noProof/>
                <w:webHidden/>
                <w:sz w:val="28"/>
                <w:szCs w:val="28"/>
              </w:rPr>
              <w:t>6</w:t>
            </w:r>
            <w:r w:rsidR="00835B84" w:rsidRPr="00AD24B5">
              <w:rPr>
                <w:rFonts w:ascii="仿宋_GB2312" w:eastAsia="仿宋_GB2312" w:hint="eastAsia"/>
                <w:noProof/>
                <w:webHidden/>
                <w:sz w:val="28"/>
                <w:szCs w:val="28"/>
              </w:rPr>
              <w:fldChar w:fldCharType="end"/>
            </w:r>
          </w:hyperlink>
        </w:p>
        <w:p w14:paraId="0A7B697B" w14:textId="77777777" w:rsidR="00835B84" w:rsidRPr="00AD24B5" w:rsidRDefault="00512EE1">
          <w:pPr>
            <w:pStyle w:val="12"/>
            <w:tabs>
              <w:tab w:val="right" w:leader="dot" w:pos="8296"/>
            </w:tabs>
            <w:rPr>
              <w:rFonts w:ascii="仿宋_GB2312" w:eastAsia="仿宋_GB2312" w:hAnsiTheme="minorHAnsi" w:cstheme="minorBidi"/>
              <w:noProof/>
              <w:sz w:val="28"/>
              <w:szCs w:val="28"/>
            </w:rPr>
          </w:pPr>
          <w:hyperlink w:anchor="_Toc44317888" w:history="1">
            <w:r w:rsidR="00835B84" w:rsidRPr="00AD24B5">
              <w:rPr>
                <w:rStyle w:val="af3"/>
                <w:rFonts w:ascii="仿宋_GB2312" w:eastAsia="仿宋_GB2312" w:hint="eastAsia"/>
                <w:noProof/>
                <w:sz w:val="28"/>
                <w:szCs w:val="28"/>
              </w:rPr>
              <w:t>附表：</w:t>
            </w:r>
            <w:r w:rsidR="00835B84" w:rsidRPr="00AD24B5">
              <w:rPr>
                <w:rFonts w:ascii="仿宋_GB2312" w:eastAsia="仿宋_GB2312" w:hint="eastAsia"/>
                <w:noProof/>
                <w:webHidden/>
                <w:sz w:val="28"/>
                <w:szCs w:val="28"/>
              </w:rPr>
              <w:tab/>
            </w:r>
            <w:r w:rsidR="00835B84" w:rsidRPr="00AD24B5">
              <w:rPr>
                <w:rFonts w:ascii="仿宋_GB2312" w:eastAsia="仿宋_GB2312" w:hint="eastAsia"/>
                <w:noProof/>
                <w:webHidden/>
                <w:sz w:val="28"/>
                <w:szCs w:val="28"/>
              </w:rPr>
              <w:fldChar w:fldCharType="begin"/>
            </w:r>
            <w:r w:rsidR="00835B84" w:rsidRPr="00AD24B5">
              <w:rPr>
                <w:rFonts w:ascii="仿宋_GB2312" w:eastAsia="仿宋_GB2312" w:hint="eastAsia"/>
                <w:noProof/>
                <w:webHidden/>
                <w:sz w:val="28"/>
                <w:szCs w:val="28"/>
              </w:rPr>
              <w:instrText xml:space="preserve"> PAGEREF _Toc44317888 \h </w:instrText>
            </w:r>
            <w:r w:rsidR="00835B84" w:rsidRPr="00AD24B5">
              <w:rPr>
                <w:rFonts w:ascii="仿宋_GB2312" w:eastAsia="仿宋_GB2312" w:hint="eastAsia"/>
                <w:noProof/>
                <w:webHidden/>
                <w:sz w:val="28"/>
                <w:szCs w:val="28"/>
              </w:rPr>
            </w:r>
            <w:r w:rsidR="00835B84" w:rsidRPr="00AD24B5">
              <w:rPr>
                <w:rFonts w:ascii="仿宋_GB2312" w:eastAsia="仿宋_GB2312" w:hint="eastAsia"/>
                <w:noProof/>
                <w:webHidden/>
                <w:sz w:val="28"/>
                <w:szCs w:val="28"/>
              </w:rPr>
              <w:fldChar w:fldCharType="separate"/>
            </w:r>
            <w:r w:rsidR="00835B84" w:rsidRPr="00AD24B5">
              <w:rPr>
                <w:rFonts w:ascii="仿宋_GB2312" w:eastAsia="仿宋_GB2312"/>
                <w:noProof/>
                <w:webHidden/>
                <w:sz w:val="28"/>
                <w:szCs w:val="28"/>
              </w:rPr>
              <w:t>7</w:t>
            </w:r>
            <w:r w:rsidR="00835B84" w:rsidRPr="00AD24B5">
              <w:rPr>
                <w:rFonts w:ascii="仿宋_GB2312" w:eastAsia="仿宋_GB2312" w:hint="eastAsia"/>
                <w:noProof/>
                <w:webHidden/>
                <w:sz w:val="28"/>
                <w:szCs w:val="28"/>
              </w:rPr>
              <w:fldChar w:fldCharType="end"/>
            </w:r>
          </w:hyperlink>
        </w:p>
        <w:p w14:paraId="3B8A4849" w14:textId="77777777" w:rsidR="00835B84" w:rsidRPr="00AD24B5" w:rsidRDefault="00512EE1">
          <w:pPr>
            <w:pStyle w:val="12"/>
            <w:tabs>
              <w:tab w:val="right" w:leader="dot" w:pos="8296"/>
            </w:tabs>
            <w:rPr>
              <w:rFonts w:ascii="仿宋_GB2312" w:eastAsia="仿宋_GB2312" w:hAnsiTheme="minorHAnsi" w:cstheme="minorBidi"/>
              <w:noProof/>
              <w:sz w:val="28"/>
              <w:szCs w:val="28"/>
            </w:rPr>
          </w:pPr>
          <w:hyperlink w:anchor="_Toc44317889" w:history="1">
            <w:r w:rsidR="00835B84" w:rsidRPr="00AD24B5">
              <w:rPr>
                <w:rStyle w:val="af3"/>
                <w:rFonts w:ascii="仿宋_GB2312" w:eastAsia="仿宋_GB2312" w:hint="eastAsia"/>
                <w:noProof/>
                <w:sz w:val="28"/>
                <w:szCs w:val="28"/>
              </w:rPr>
              <w:t>附则：</w:t>
            </w:r>
            <w:r w:rsidR="00835B84" w:rsidRPr="00AD24B5">
              <w:rPr>
                <w:rFonts w:ascii="仿宋_GB2312" w:eastAsia="仿宋_GB2312" w:hint="eastAsia"/>
                <w:noProof/>
                <w:webHidden/>
                <w:sz w:val="28"/>
                <w:szCs w:val="28"/>
              </w:rPr>
              <w:tab/>
            </w:r>
            <w:r w:rsidR="00835B84" w:rsidRPr="00AD24B5">
              <w:rPr>
                <w:rFonts w:ascii="仿宋_GB2312" w:eastAsia="仿宋_GB2312" w:hint="eastAsia"/>
                <w:noProof/>
                <w:webHidden/>
                <w:sz w:val="28"/>
                <w:szCs w:val="28"/>
              </w:rPr>
              <w:fldChar w:fldCharType="begin"/>
            </w:r>
            <w:r w:rsidR="00835B84" w:rsidRPr="00AD24B5">
              <w:rPr>
                <w:rFonts w:ascii="仿宋_GB2312" w:eastAsia="仿宋_GB2312" w:hint="eastAsia"/>
                <w:noProof/>
                <w:webHidden/>
                <w:sz w:val="28"/>
                <w:szCs w:val="28"/>
              </w:rPr>
              <w:instrText xml:space="preserve"> PAGEREF _Toc44317889 \h </w:instrText>
            </w:r>
            <w:r w:rsidR="00835B84" w:rsidRPr="00AD24B5">
              <w:rPr>
                <w:rFonts w:ascii="仿宋_GB2312" w:eastAsia="仿宋_GB2312" w:hint="eastAsia"/>
                <w:noProof/>
                <w:webHidden/>
                <w:sz w:val="28"/>
                <w:szCs w:val="28"/>
              </w:rPr>
            </w:r>
            <w:r w:rsidR="00835B84" w:rsidRPr="00AD24B5">
              <w:rPr>
                <w:rFonts w:ascii="仿宋_GB2312" w:eastAsia="仿宋_GB2312" w:hint="eastAsia"/>
                <w:noProof/>
                <w:webHidden/>
                <w:sz w:val="28"/>
                <w:szCs w:val="28"/>
              </w:rPr>
              <w:fldChar w:fldCharType="separate"/>
            </w:r>
            <w:r w:rsidR="00835B84" w:rsidRPr="00AD24B5">
              <w:rPr>
                <w:rFonts w:ascii="仿宋_GB2312" w:eastAsia="仿宋_GB2312"/>
                <w:noProof/>
                <w:webHidden/>
                <w:sz w:val="28"/>
                <w:szCs w:val="28"/>
              </w:rPr>
              <w:t>8</w:t>
            </w:r>
            <w:r w:rsidR="00835B84" w:rsidRPr="00AD24B5">
              <w:rPr>
                <w:rFonts w:ascii="仿宋_GB2312" w:eastAsia="仿宋_GB2312" w:hint="eastAsia"/>
                <w:noProof/>
                <w:webHidden/>
                <w:sz w:val="28"/>
                <w:szCs w:val="28"/>
              </w:rPr>
              <w:fldChar w:fldCharType="end"/>
            </w:r>
          </w:hyperlink>
        </w:p>
        <w:p w14:paraId="51BA05BF" w14:textId="3EC179B1" w:rsidR="00564634" w:rsidRDefault="002B4EF8" w:rsidP="00564634">
          <w:pPr>
            <w:rPr>
              <w:rFonts w:ascii="仿宋_GB2312" w:eastAsia="仿宋_GB2312"/>
              <w:sz w:val="28"/>
              <w:szCs w:val="28"/>
            </w:rPr>
          </w:pPr>
          <w:r w:rsidRPr="00AD24B5">
            <w:rPr>
              <w:rFonts w:ascii="仿宋_GB2312" w:eastAsia="仿宋_GB2312" w:hint="eastAsia"/>
              <w:b/>
              <w:bCs/>
              <w:sz w:val="28"/>
              <w:szCs w:val="28"/>
              <w:lang w:val="zh-CN"/>
            </w:rPr>
            <w:fldChar w:fldCharType="end"/>
          </w:r>
        </w:p>
      </w:sdtContent>
    </w:sdt>
    <w:p w14:paraId="518AB072" w14:textId="77777777" w:rsidR="00564634" w:rsidRPr="00564634" w:rsidRDefault="00564634" w:rsidP="00564634">
      <w:pPr>
        <w:rPr>
          <w:rFonts w:ascii="仿宋_GB2312" w:eastAsia="仿宋_GB2312"/>
          <w:sz w:val="28"/>
          <w:szCs w:val="28"/>
        </w:rPr>
      </w:pPr>
    </w:p>
    <w:p w14:paraId="467F2B78" w14:textId="77777777" w:rsidR="00564634" w:rsidRPr="00564634" w:rsidRDefault="00564634" w:rsidP="00564634">
      <w:pPr>
        <w:sectPr w:rsidR="00564634" w:rsidRPr="00564634" w:rsidSect="00564634">
          <w:footerReference w:type="default" r:id="rId8"/>
          <w:pgSz w:w="11906" w:h="16838"/>
          <w:pgMar w:top="1440" w:right="1800" w:bottom="1440" w:left="1800" w:header="851" w:footer="992" w:gutter="0"/>
          <w:pgNumType w:start="1"/>
          <w:cols w:space="425"/>
          <w:docGrid w:type="lines" w:linePitch="312"/>
        </w:sectPr>
      </w:pPr>
      <w:bookmarkStart w:id="0" w:name="_Toc44317881"/>
    </w:p>
    <w:p w14:paraId="51B774D4" w14:textId="122E31EB" w:rsidR="00981B88" w:rsidRPr="00AD24B5" w:rsidRDefault="00981B88" w:rsidP="00981B88">
      <w:pPr>
        <w:pStyle w:val="1"/>
        <w:spacing w:line="360" w:lineRule="auto"/>
        <w:rPr>
          <w:rFonts w:ascii="仿宋_GB2312" w:eastAsia="仿宋_GB2312" w:hAnsi="仿宋"/>
          <w:sz w:val="28"/>
          <w:szCs w:val="28"/>
        </w:rPr>
      </w:pPr>
      <w:r w:rsidRPr="00AD24B5">
        <w:rPr>
          <w:rFonts w:ascii="仿宋_GB2312" w:eastAsia="仿宋_GB2312" w:hAnsi="仿宋" w:hint="eastAsia"/>
          <w:sz w:val="28"/>
          <w:szCs w:val="28"/>
        </w:rPr>
        <w:lastRenderedPageBreak/>
        <w:t>一</w:t>
      </w:r>
      <w:r w:rsidR="0049219A" w:rsidRPr="00AD24B5">
        <w:rPr>
          <w:rFonts w:ascii="仿宋_GB2312" w:eastAsia="仿宋_GB2312" w:hAnsi="仿宋" w:hint="eastAsia"/>
          <w:sz w:val="28"/>
          <w:szCs w:val="28"/>
        </w:rPr>
        <w:t>、</w:t>
      </w:r>
      <w:r w:rsidR="006C307C" w:rsidRPr="00AD24B5">
        <w:rPr>
          <w:rFonts w:ascii="仿宋_GB2312" w:eastAsia="仿宋_GB2312" w:hAnsi="仿宋" w:hint="eastAsia"/>
          <w:sz w:val="28"/>
          <w:szCs w:val="28"/>
        </w:rPr>
        <w:t>概述</w:t>
      </w:r>
      <w:bookmarkEnd w:id="0"/>
    </w:p>
    <w:p w14:paraId="5BE6BDE0" w14:textId="7C184E39" w:rsidR="00657202" w:rsidRPr="00AD24B5" w:rsidRDefault="00657202" w:rsidP="00657202">
      <w:pPr>
        <w:ind w:firstLineChars="200" w:firstLine="560"/>
        <w:rPr>
          <w:rFonts w:ascii="仿宋_GB2312" w:eastAsia="仿宋_GB2312" w:hAnsi="仿宋"/>
          <w:sz w:val="28"/>
          <w:szCs w:val="28"/>
        </w:rPr>
      </w:pPr>
      <w:r w:rsidRPr="00AD24B5">
        <w:rPr>
          <w:rFonts w:ascii="仿宋_GB2312" w:eastAsia="仿宋_GB2312" w:hAnsi="仿宋" w:hint="eastAsia"/>
          <w:sz w:val="28"/>
          <w:szCs w:val="28"/>
        </w:rPr>
        <w:t>非处方药是指由</w:t>
      </w:r>
      <w:r w:rsidR="006A0089" w:rsidRPr="00AD24B5">
        <w:rPr>
          <w:rFonts w:ascii="仿宋_GB2312" w:eastAsia="仿宋_GB2312" w:hAnsi="仿宋" w:hint="eastAsia"/>
          <w:sz w:val="28"/>
          <w:szCs w:val="28"/>
        </w:rPr>
        <w:t>国家药品监督管理部门批准</w:t>
      </w:r>
      <w:r w:rsidRPr="00AD24B5">
        <w:rPr>
          <w:rFonts w:ascii="仿宋_GB2312" w:eastAsia="仿宋_GB2312" w:hAnsi="仿宋" w:hint="eastAsia"/>
          <w:sz w:val="28"/>
          <w:szCs w:val="28"/>
        </w:rPr>
        <w:t>的，不需要凭执业医师和执业助理医师处方，消费者可以自行判断、购买和使用的药品。非处方药具有有效性明确，安全性范围广，误用和滥用</w:t>
      </w:r>
      <w:r w:rsidR="00B55769" w:rsidRPr="00AD24B5">
        <w:rPr>
          <w:rFonts w:ascii="仿宋_GB2312" w:eastAsia="仿宋_GB2312" w:hAnsi="仿宋" w:hint="eastAsia"/>
          <w:sz w:val="28"/>
          <w:szCs w:val="28"/>
        </w:rPr>
        <w:t>风险低，适应症和用法用量确定</w:t>
      </w:r>
      <w:r w:rsidRPr="00AD24B5">
        <w:rPr>
          <w:rFonts w:ascii="仿宋_GB2312" w:eastAsia="仿宋_GB2312" w:hAnsi="仿宋" w:hint="eastAsia"/>
          <w:sz w:val="28"/>
          <w:szCs w:val="28"/>
        </w:rPr>
        <w:t>，且易于人群自行判断、使用与管理的特点。除此之外，</w:t>
      </w:r>
      <w:r w:rsidR="00B55769" w:rsidRPr="00AD24B5">
        <w:rPr>
          <w:rFonts w:ascii="仿宋_GB2312" w:eastAsia="仿宋_GB2312" w:hAnsi="仿宋" w:hint="eastAsia"/>
          <w:sz w:val="28"/>
          <w:szCs w:val="28"/>
        </w:rPr>
        <w:t>非处方药</w:t>
      </w:r>
      <w:r w:rsidRPr="00AD24B5">
        <w:rPr>
          <w:rFonts w:ascii="仿宋_GB2312" w:eastAsia="仿宋_GB2312" w:hAnsi="仿宋" w:hint="eastAsia"/>
          <w:sz w:val="28"/>
          <w:szCs w:val="28"/>
        </w:rPr>
        <w:t>在剂型、规格、口味、颜色、气味、包装</w:t>
      </w:r>
      <w:r w:rsidR="00B55769" w:rsidRPr="00AD24B5">
        <w:rPr>
          <w:rFonts w:ascii="仿宋_GB2312" w:eastAsia="仿宋_GB2312" w:hAnsi="仿宋" w:hint="eastAsia"/>
          <w:sz w:val="28"/>
          <w:szCs w:val="28"/>
        </w:rPr>
        <w:t>等方面</w:t>
      </w:r>
      <w:r w:rsidRPr="00AD24B5">
        <w:rPr>
          <w:rFonts w:ascii="仿宋_GB2312" w:eastAsia="仿宋_GB2312" w:hAnsi="仿宋" w:hint="eastAsia"/>
          <w:sz w:val="28"/>
          <w:szCs w:val="28"/>
        </w:rPr>
        <w:t>能够更好的满足人群个性化的用药需求。</w:t>
      </w:r>
    </w:p>
    <w:p w14:paraId="6EB0BC6C" w14:textId="57BDFF85" w:rsidR="00D10A81" w:rsidRPr="00AD24B5" w:rsidRDefault="00AD0DE8" w:rsidP="00D10A81">
      <w:pPr>
        <w:ind w:firstLineChars="200" w:firstLine="560"/>
        <w:rPr>
          <w:rFonts w:ascii="仿宋_GB2312" w:eastAsia="仿宋_GB2312" w:hAnsi="仿宋"/>
          <w:sz w:val="28"/>
          <w:szCs w:val="28"/>
        </w:rPr>
      </w:pPr>
      <w:r w:rsidRPr="00AD24B5">
        <w:rPr>
          <w:rFonts w:ascii="仿宋_GB2312" w:eastAsia="仿宋_GB2312" w:hAnsi="仿宋" w:hint="eastAsia"/>
          <w:sz w:val="28"/>
          <w:szCs w:val="28"/>
        </w:rPr>
        <w:t>《药品注册管理办法》</w:t>
      </w:r>
      <w:r w:rsidR="00D10A81" w:rsidRPr="00AD24B5">
        <w:rPr>
          <w:rFonts w:ascii="仿宋_GB2312" w:eastAsia="仿宋_GB2312" w:hAnsi="仿宋" w:hint="eastAsia"/>
          <w:sz w:val="28"/>
          <w:szCs w:val="28"/>
        </w:rPr>
        <w:t>（国家市场监督管理总局令第27号）</w:t>
      </w:r>
      <w:r w:rsidR="006A0089" w:rsidRPr="00AD24B5">
        <w:rPr>
          <w:rFonts w:ascii="仿宋_GB2312" w:eastAsia="仿宋_GB2312" w:hAnsi="仿宋" w:hint="eastAsia"/>
          <w:sz w:val="28"/>
          <w:szCs w:val="28"/>
        </w:rPr>
        <w:t>明确规定</w:t>
      </w:r>
      <w:r w:rsidR="0049219A" w:rsidRPr="00AD24B5">
        <w:rPr>
          <w:rFonts w:ascii="仿宋_GB2312" w:eastAsia="仿宋_GB2312" w:hAnsi="仿宋" w:hint="eastAsia"/>
          <w:sz w:val="28"/>
          <w:szCs w:val="28"/>
        </w:rPr>
        <w:t>，</w:t>
      </w:r>
      <w:r w:rsidR="00657202" w:rsidRPr="00AD24B5">
        <w:rPr>
          <w:rFonts w:ascii="仿宋_GB2312" w:eastAsia="仿宋_GB2312" w:hAnsi="仿宋" w:hint="eastAsia"/>
          <w:sz w:val="28"/>
          <w:szCs w:val="28"/>
        </w:rPr>
        <w:t>处方药和非处方药实行分类注册和转换管理，</w:t>
      </w:r>
      <w:r w:rsidR="00D10A81" w:rsidRPr="00AD24B5">
        <w:rPr>
          <w:rFonts w:ascii="仿宋_GB2312" w:eastAsia="仿宋_GB2312" w:hAnsi="仿宋" w:hint="eastAsia"/>
          <w:sz w:val="28"/>
          <w:szCs w:val="28"/>
        </w:rPr>
        <w:t>符合以下情形之一的，可以直接提出非处方药上市许可申请：（一）境内已有相同活性成分、适应症（或者功能主治）、剂型、规格的非处方药上市的药品；（二）经国家药品监督管理局确定的非处方药改变剂型或者规格，但不改变适应症（或者功能主治）、给药剂量以及给药途径的药品；（三）使用国家药品监督管理局确定的非处方药的活性成份组成的新的复方制剂；（四）其他直接申报非处方药上市许可的情形。</w:t>
      </w:r>
    </w:p>
    <w:p w14:paraId="18A5C0C6" w14:textId="0CEEED0E" w:rsidR="00344ECC" w:rsidRPr="00AD24B5" w:rsidRDefault="00344ECC" w:rsidP="001E235C">
      <w:pPr>
        <w:ind w:firstLineChars="200" w:firstLine="560"/>
        <w:rPr>
          <w:rFonts w:ascii="仿宋_GB2312" w:eastAsia="仿宋_GB2312" w:hAnsi="仿宋"/>
          <w:sz w:val="28"/>
          <w:szCs w:val="28"/>
        </w:rPr>
      </w:pPr>
      <w:r w:rsidRPr="00AD24B5">
        <w:rPr>
          <w:rFonts w:ascii="仿宋_GB2312" w:eastAsia="仿宋_GB2312" w:hAnsi="仿宋" w:hint="eastAsia"/>
          <w:sz w:val="28"/>
          <w:szCs w:val="28"/>
        </w:rPr>
        <w:t>本指导原则</w:t>
      </w:r>
      <w:r w:rsidR="00D10A81" w:rsidRPr="00AD24B5">
        <w:rPr>
          <w:rFonts w:ascii="仿宋_GB2312" w:eastAsia="仿宋_GB2312" w:hAnsi="仿宋" w:hint="eastAsia"/>
          <w:sz w:val="28"/>
          <w:szCs w:val="28"/>
        </w:rPr>
        <w:t>基于我国非处方药注册申报特点，围绕以上四种情形，</w:t>
      </w:r>
      <w:r w:rsidR="00657202" w:rsidRPr="00AD24B5">
        <w:rPr>
          <w:rFonts w:ascii="仿宋_GB2312" w:eastAsia="仿宋_GB2312" w:hAnsi="仿宋" w:hint="eastAsia"/>
          <w:sz w:val="28"/>
          <w:szCs w:val="28"/>
        </w:rPr>
        <w:t>制定非处方药</w:t>
      </w:r>
      <w:r w:rsidRPr="00AD24B5">
        <w:rPr>
          <w:rFonts w:ascii="仿宋_GB2312" w:eastAsia="仿宋_GB2312" w:hAnsi="仿宋" w:hint="eastAsia"/>
          <w:sz w:val="28"/>
          <w:szCs w:val="28"/>
        </w:rPr>
        <w:t>上市许可申请的技术要求。本指导原则着重阐述非处方药上市许可申请</w:t>
      </w:r>
      <w:r w:rsidR="00657202" w:rsidRPr="00AD24B5">
        <w:rPr>
          <w:rFonts w:ascii="仿宋_GB2312" w:eastAsia="仿宋_GB2312" w:hAnsi="仿宋" w:hint="eastAsia"/>
          <w:sz w:val="28"/>
          <w:szCs w:val="28"/>
        </w:rPr>
        <w:t>所涉及技术要求中的</w:t>
      </w:r>
      <w:r w:rsidR="008C2FAC" w:rsidRPr="00AD24B5">
        <w:rPr>
          <w:rFonts w:ascii="仿宋_GB2312" w:eastAsia="仿宋_GB2312" w:hAnsi="仿宋" w:hint="eastAsia"/>
          <w:sz w:val="28"/>
          <w:szCs w:val="28"/>
        </w:rPr>
        <w:t>总体</w:t>
      </w:r>
      <w:r w:rsidR="00657202" w:rsidRPr="00AD24B5">
        <w:rPr>
          <w:rFonts w:ascii="仿宋_GB2312" w:eastAsia="仿宋_GB2312" w:hAnsi="仿宋" w:hint="eastAsia"/>
          <w:sz w:val="28"/>
          <w:szCs w:val="28"/>
        </w:rPr>
        <w:t>考虑，研发中的</w:t>
      </w:r>
      <w:r w:rsidRPr="00AD24B5">
        <w:rPr>
          <w:rFonts w:ascii="仿宋_GB2312" w:eastAsia="仿宋_GB2312" w:hAnsi="仿宋" w:hint="eastAsia"/>
          <w:sz w:val="28"/>
          <w:szCs w:val="28"/>
        </w:rPr>
        <w:t>一般原则与标准，如</w:t>
      </w:r>
      <w:r w:rsidR="00A700E8" w:rsidRPr="00AD24B5">
        <w:rPr>
          <w:rFonts w:ascii="仿宋_GB2312" w:eastAsia="仿宋_GB2312" w:hAnsi="仿宋" w:hint="eastAsia"/>
          <w:sz w:val="28"/>
          <w:szCs w:val="28"/>
        </w:rPr>
        <w:t>药品生产质量管理规范（</w:t>
      </w:r>
      <w:r w:rsidRPr="00AD24B5">
        <w:rPr>
          <w:rFonts w:ascii="仿宋_GB2312" w:eastAsia="仿宋_GB2312" w:hAnsi="仿宋" w:hint="eastAsia"/>
          <w:sz w:val="28"/>
          <w:szCs w:val="28"/>
        </w:rPr>
        <w:t>GMP</w:t>
      </w:r>
      <w:r w:rsidR="00A700E8" w:rsidRPr="00AD24B5">
        <w:rPr>
          <w:rFonts w:ascii="仿宋_GB2312" w:eastAsia="仿宋_GB2312" w:hAnsi="仿宋" w:hint="eastAsia"/>
          <w:sz w:val="28"/>
          <w:szCs w:val="28"/>
        </w:rPr>
        <w:t>）</w:t>
      </w:r>
      <w:r w:rsidRPr="00AD24B5">
        <w:rPr>
          <w:rFonts w:ascii="仿宋_GB2312" w:eastAsia="仿宋_GB2312" w:hAnsi="仿宋" w:hint="eastAsia"/>
          <w:sz w:val="28"/>
          <w:szCs w:val="28"/>
        </w:rPr>
        <w:t>、</w:t>
      </w:r>
      <w:r w:rsidR="00A700E8" w:rsidRPr="00AD24B5">
        <w:rPr>
          <w:rFonts w:ascii="仿宋_GB2312" w:eastAsia="仿宋_GB2312" w:hAnsi="仿宋" w:hint="eastAsia"/>
          <w:sz w:val="28"/>
          <w:szCs w:val="28"/>
        </w:rPr>
        <w:t>药物临床试验质量管理规范（</w:t>
      </w:r>
      <w:r w:rsidRPr="00AD24B5">
        <w:rPr>
          <w:rFonts w:ascii="仿宋_GB2312" w:eastAsia="仿宋_GB2312" w:hAnsi="仿宋" w:hint="eastAsia"/>
          <w:sz w:val="28"/>
          <w:szCs w:val="28"/>
        </w:rPr>
        <w:t>GCP</w:t>
      </w:r>
      <w:r w:rsidR="00A700E8" w:rsidRPr="00AD24B5">
        <w:rPr>
          <w:rFonts w:ascii="仿宋_GB2312" w:eastAsia="仿宋_GB2312" w:hAnsi="仿宋" w:hint="eastAsia"/>
          <w:sz w:val="28"/>
          <w:szCs w:val="28"/>
        </w:rPr>
        <w:t>）</w:t>
      </w:r>
      <w:r w:rsidRPr="00AD24B5">
        <w:rPr>
          <w:rFonts w:ascii="仿宋_GB2312" w:eastAsia="仿宋_GB2312" w:hAnsi="仿宋" w:hint="eastAsia"/>
          <w:sz w:val="28"/>
          <w:szCs w:val="28"/>
        </w:rPr>
        <w:t>等，执行与处方药</w:t>
      </w:r>
      <w:r w:rsidR="00B8135C" w:rsidRPr="00AD24B5">
        <w:rPr>
          <w:rFonts w:ascii="仿宋_GB2312" w:eastAsia="仿宋_GB2312" w:hAnsi="仿宋" w:hint="eastAsia"/>
          <w:sz w:val="28"/>
          <w:szCs w:val="28"/>
        </w:rPr>
        <w:t>上市许可申请</w:t>
      </w:r>
      <w:r w:rsidRPr="00AD24B5">
        <w:rPr>
          <w:rFonts w:ascii="仿宋_GB2312" w:eastAsia="仿宋_GB2312" w:hAnsi="仿宋" w:hint="eastAsia"/>
          <w:sz w:val="28"/>
          <w:szCs w:val="28"/>
        </w:rPr>
        <w:t>一致的原则。</w:t>
      </w:r>
    </w:p>
    <w:p w14:paraId="68DE667F" w14:textId="4580AD49" w:rsidR="00344ECC" w:rsidRPr="00AD24B5" w:rsidRDefault="00D5218A" w:rsidP="001E235C">
      <w:pPr>
        <w:ind w:firstLineChars="200" w:firstLine="560"/>
        <w:rPr>
          <w:rFonts w:ascii="仿宋_GB2312" w:eastAsia="仿宋_GB2312" w:hAnsi="仿宋"/>
          <w:sz w:val="28"/>
          <w:szCs w:val="28"/>
        </w:rPr>
      </w:pPr>
      <w:r w:rsidRPr="00AD24B5">
        <w:rPr>
          <w:rFonts w:ascii="仿宋_GB2312" w:eastAsia="仿宋_GB2312" w:hAnsi="仿宋" w:hint="eastAsia"/>
          <w:sz w:val="28"/>
          <w:szCs w:val="28"/>
        </w:rPr>
        <w:lastRenderedPageBreak/>
        <w:t>通常，非处方药包括化学药品类，以及中药和天然药物类。</w:t>
      </w:r>
      <w:r w:rsidR="00344ECC" w:rsidRPr="00AD24B5">
        <w:rPr>
          <w:rFonts w:ascii="仿宋_GB2312" w:eastAsia="仿宋_GB2312" w:hAnsi="仿宋" w:hint="eastAsia"/>
          <w:sz w:val="28"/>
          <w:szCs w:val="28"/>
        </w:rPr>
        <w:t>本指导原则</w:t>
      </w:r>
      <w:r w:rsidRPr="00AD24B5">
        <w:rPr>
          <w:rFonts w:ascii="仿宋_GB2312" w:eastAsia="仿宋_GB2312" w:hAnsi="仿宋" w:hint="eastAsia"/>
          <w:sz w:val="28"/>
          <w:szCs w:val="28"/>
        </w:rPr>
        <w:t>仅</w:t>
      </w:r>
      <w:r w:rsidR="00344ECC" w:rsidRPr="00AD24B5">
        <w:rPr>
          <w:rFonts w:ascii="仿宋_GB2312" w:eastAsia="仿宋_GB2312" w:hAnsi="仿宋" w:hint="eastAsia"/>
          <w:sz w:val="28"/>
          <w:szCs w:val="28"/>
        </w:rPr>
        <w:t>适用于</w:t>
      </w:r>
      <w:r w:rsidR="00906D22" w:rsidRPr="00AD24B5">
        <w:rPr>
          <w:rFonts w:ascii="仿宋_GB2312" w:eastAsia="仿宋_GB2312" w:hAnsi="仿宋" w:hint="eastAsia"/>
          <w:sz w:val="28"/>
          <w:szCs w:val="28"/>
        </w:rPr>
        <w:t>化学药品类</w:t>
      </w:r>
      <w:r w:rsidR="00344ECC" w:rsidRPr="00AD24B5">
        <w:rPr>
          <w:rFonts w:ascii="仿宋_GB2312" w:eastAsia="仿宋_GB2312" w:hAnsi="仿宋" w:hint="eastAsia"/>
          <w:sz w:val="28"/>
          <w:szCs w:val="28"/>
        </w:rPr>
        <w:t>非处方药。</w:t>
      </w:r>
    </w:p>
    <w:p w14:paraId="02DAA14C" w14:textId="0E7D46CF" w:rsidR="00DA6B32" w:rsidRPr="00AD24B5" w:rsidRDefault="0049219A" w:rsidP="00B73E6C">
      <w:pPr>
        <w:pStyle w:val="1"/>
        <w:spacing w:line="360" w:lineRule="auto"/>
        <w:rPr>
          <w:rFonts w:ascii="仿宋_GB2312" w:eastAsia="仿宋_GB2312"/>
          <w:sz w:val="28"/>
        </w:rPr>
      </w:pPr>
      <w:bookmarkStart w:id="1" w:name="_Toc44317882"/>
      <w:r w:rsidRPr="00AD24B5">
        <w:rPr>
          <w:rFonts w:ascii="仿宋_GB2312" w:eastAsia="仿宋_GB2312" w:hAnsi="仿宋" w:hint="eastAsia"/>
          <w:sz w:val="28"/>
          <w:szCs w:val="28"/>
        </w:rPr>
        <w:t>二、</w:t>
      </w:r>
      <w:r w:rsidR="008C2FAC" w:rsidRPr="00AD24B5">
        <w:rPr>
          <w:rFonts w:ascii="仿宋_GB2312" w:eastAsia="仿宋_GB2312" w:hint="eastAsia"/>
          <w:sz w:val="28"/>
        </w:rPr>
        <w:t>总体考虑</w:t>
      </w:r>
      <w:bookmarkEnd w:id="1"/>
    </w:p>
    <w:p w14:paraId="298E030C" w14:textId="31EF5A79" w:rsidR="00AE0BDF" w:rsidRPr="00AD24B5" w:rsidRDefault="00493C8F" w:rsidP="006D78D0">
      <w:pPr>
        <w:ind w:firstLineChars="200" w:firstLine="560"/>
        <w:rPr>
          <w:rFonts w:ascii="仿宋_GB2312" w:eastAsia="仿宋_GB2312" w:hAnsi="仿宋"/>
          <w:sz w:val="28"/>
          <w:szCs w:val="28"/>
        </w:rPr>
      </w:pPr>
      <w:r w:rsidRPr="00AD24B5">
        <w:rPr>
          <w:rFonts w:ascii="仿宋_GB2312" w:eastAsia="仿宋_GB2312" w:hAnsi="仿宋" w:hint="eastAsia"/>
          <w:sz w:val="28"/>
          <w:szCs w:val="28"/>
        </w:rPr>
        <w:t>根据非处方药的特点，有如下</w:t>
      </w:r>
      <w:r w:rsidR="008C2FAC" w:rsidRPr="00AD24B5">
        <w:rPr>
          <w:rFonts w:ascii="仿宋_GB2312" w:eastAsia="仿宋_GB2312" w:hAnsi="仿宋" w:hint="eastAsia"/>
          <w:sz w:val="28"/>
          <w:szCs w:val="28"/>
        </w:rPr>
        <w:t>总体考虑</w:t>
      </w:r>
      <w:r w:rsidRPr="00AD24B5">
        <w:rPr>
          <w:rFonts w:ascii="仿宋_GB2312" w:eastAsia="仿宋_GB2312" w:hAnsi="仿宋" w:hint="eastAsia"/>
          <w:sz w:val="28"/>
          <w:szCs w:val="28"/>
        </w:rPr>
        <w:t>：</w:t>
      </w:r>
    </w:p>
    <w:p w14:paraId="68F7BA40" w14:textId="155FAF88" w:rsidR="00D6342A" w:rsidRPr="00AD24B5" w:rsidRDefault="00240567" w:rsidP="00882DB7">
      <w:pPr>
        <w:ind w:firstLineChars="200" w:firstLine="560"/>
        <w:rPr>
          <w:rFonts w:ascii="仿宋_GB2312" w:eastAsia="仿宋_GB2312" w:hAnsi="仿宋"/>
          <w:color w:val="000000" w:themeColor="text1"/>
          <w:sz w:val="28"/>
          <w:szCs w:val="28"/>
        </w:rPr>
      </w:pPr>
      <w:r w:rsidRPr="00AD24B5">
        <w:rPr>
          <w:rFonts w:ascii="仿宋_GB2312" w:eastAsia="仿宋_GB2312" w:hAnsi="仿宋" w:hint="eastAsia"/>
          <w:sz w:val="28"/>
          <w:szCs w:val="28"/>
        </w:rPr>
        <w:t>（一）</w:t>
      </w:r>
      <w:r w:rsidR="00AF6948" w:rsidRPr="00AD24B5">
        <w:rPr>
          <w:rFonts w:ascii="仿宋_GB2312" w:eastAsia="仿宋_GB2312" w:hAnsi="仿宋" w:hint="eastAsia"/>
          <w:color w:val="000000" w:themeColor="text1"/>
          <w:sz w:val="28"/>
          <w:szCs w:val="28"/>
        </w:rPr>
        <w:t>认可在</w:t>
      </w:r>
      <w:r w:rsidR="00D6342A" w:rsidRPr="00AD24B5">
        <w:rPr>
          <w:rFonts w:ascii="仿宋_GB2312" w:eastAsia="仿宋_GB2312" w:hAnsi="仿宋" w:hint="eastAsia"/>
          <w:color w:val="000000" w:themeColor="text1"/>
          <w:sz w:val="28"/>
          <w:szCs w:val="28"/>
        </w:rPr>
        <w:t>已上市的非处方药基础上，结合适应症和品种特点，开发适合我国人群喜好及用药习惯且质量可控的非处方药品种。</w:t>
      </w:r>
    </w:p>
    <w:p w14:paraId="57E7DBFB" w14:textId="00365C96" w:rsidR="00C21C2F" w:rsidRPr="00AD24B5" w:rsidRDefault="00D6342A" w:rsidP="00882DB7">
      <w:pPr>
        <w:ind w:firstLineChars="200" w:firstLine="560"/>
        <w:rPr>
          <w:rFonts w:ascii="仿宋_GB2312" w:eastAsia="仿宋_GB2312" w:hAnsi="仿宋"/>
          <w:color w:val="000000" w:themeColor="text1"/>
          <w:sz w:val="28"/>
          <w:szCs w:val="28"/>
        </w:rPr>
      </w:pPr>
      <w:r w:rsidRPr="00AD24B5">
        <w:rPr>
          <w:rFonts w:ascii="仿宋_GB2312" w:eastAsia="仿宋_GB2312" w:hAnsi="仿宋" w:hint="eastAsia"/>
          <w:color w:val="000000" w:themeColor="text1"/>
          <w:sz w:val="28"/>
          <w:szCs w:val="28"/>
        </w:rPr>
        <w:t>（二）</w:t>
      </w:r>
      <w:r w:rsidR="00E611E2" w:rsidRPr="00AD24B5">
        <w:rPr>
          <w:rFonts w:ascii="仿宋_GB2312" w:eastAsia="仿宋_GB2312" w:hAnsi="仿宋" w:hint="eastAsia"/>
          <w:sz w:val="28"/>
          <w:szCs w:val="28"/>
        </w:rPr>
        <w:t>非处方药</w:t>
      </w:r>
      <w:r w:rsidR="00493C8F" w:rsidRPr="00AD24B5">
        <w:rPr>
          <w:rFonts w:ascii="仿宋_GB2312" w:eastAsia="仿宋_GB2312" w:hAnsi="仿宋" w:hint="eastAsia"/>
          <w:sz w:val="28"/>
          <w:szCs w:val="28"/>
        </w:rPr>
        <w:t>临床价值</w:t>
      </w:r>
      <w:r w:rsidR="00483A1F" w:rsidRPr="00AD24B5">
        <w:rPr>
          <w:rFonts w:ascii="仿宋_GB2312" w:eastAsia="仿宋_GB2312" w:hAnsi="仿宋" w:hint="eastAsia"/>
          <w:sz w:val="28"/>
          <w:szCs w:val="28"/>
        </w:rPr>
        <w:t>（临床需求）</w:t>
      </w:r>
      <w:r w:rsidR="00E611E2" w:rsidRPr="00AD24B5">
        <w:rPr>
          <w:rFonts w:ascii="仿宋_GB2312" w:eastAsia="仿宋_GB2312" w:hAnsi="仿宋" w:hint="eastAsia"/>
          <w:sz w:val="28"/>
          <w:szCs w:val="28"/>
        </w:rPr>
        <w:t>的</w:t>
      </w:r>
      <w:r w:rsidR="00493C8F" w:rsidRPr="00AD24B5">
        <w:rPr>
          <w:rFonts w:ascii="仿宋_GB2312" w:eastAsia="仿宋_GB2312" w:hAnsi="仿宋" w:hint="eastAsia"/>
          <w:color w:val="000000" w:themeColor="text1"/>
          <w:sz w:val="28"/>
          <w:szCs w:val="28"/>
        </w:rPr>
        <w:t>评估</w:t>
      </w:r>
      <w:r w:rsidR="00E611E2" w:rsidRPr="00AD24B5">
        <w:rPr>
          <w:rFonts w:ascii="仿宋_GB2312" w:eastAsia="仿宋_GB2312" w:hAnsi="仿宋" w:hint="eastAsia"/>
          <w:color w:val="000000" w:themeColor="text1"/>
          <w:sz w:val="28"/>
          <w:szCs w:val="28"/>
        </w:rPr>
        <w:t>，</w:t>
      </w:r>
      <w:r w:rsidR="00493C8F" w:rsidRPr="00AD24B5">
        <w:rPr>
          <w:rFonts w:ascii="仿宋_GB2312" w:eastAsia="仿宋_GB2312" w:hAnsi="仿宋" w:hint="eastAsia"/>
          <w:color w:val="000000" w:themeColor="text1"/>
          <w:sz w:val="28"/>
          <w:szCs w:val="28"/>
        </w:rPr>
        <w:t>以满足</w:t>
      </w:r>
      <w:r w:rsidR="00E611E2" w:rsidRPr="00AD24B5">
        <w:rPr>
          <w:rFonts w:ascii="仿宋_GB2312" w:eastAsia="仿宋_GB2312" w:hAnsi="仿宋" w:hint="eastAsia"/>
          <w:color w:val="000000" w:themeColor="text1"/>
          <w:sz w:val="28"/>
          <w:szCs w:val="28"/>
        </w:rPr>
        <w:t>我国</w:t>
      </w:r>
      <w:r w:rsidR="00493C8F" w:rsidRPr="00AD24B5">
        <w:rPr>
          <w:rFonts w:ascii="仿宋_GB2312" w:eastAsia="仿宋_GB2312" w:hAnsi="仿宋" w:hint="eastAsia"/>
          <w:color w:val="000000" w:themeColor="text1"/>
          <w:sz w:val="28"/>
          <w:szCs w:val="28"/>
        </w:rPr>
        <w:t>人群的</w:t>
      </w:r>
      <w:r w:rsidR="00D6091F" w:rsidRPr="00AD24B5">
        <w:rPr>
          <w:rFonts w:ascii="仿宋_GB2312" w:eastAsia="仿宋_GB2312" w:hAnsi="仿宋" w:hint="eastAsia"/>
          <w:color w:val="000000" w:themeColor="text1"/>
          <w:sz w:val="28"/>
          <w:szCs w:val="28"/>
        </w:rPr>
        <w:t>个性化</w:t>
      </w:r>
      <w:r w:rsidR="00493C8F" w:rsidRPr="00AD24B5">
        <w:rPr>
          <w:rFonts w:ascii="仿宋_GB2312" w:eastAsia="仿宋_GB2312" w:hAnsi="仿宋" w:hint="eastAsia"/>
          <w:color w:val="000000" w:themeColor="text1"/>
          <w:sz w:val="28"/>
          <w:szCs w:val="28"/>
        </w:rPr>
        <w:t>用药需求为考虑</w:t>
      </w:r>
      <w:r w:rsidR="00D6091F" w:rsidRPr="00AD24B5">
        <w:rPr>
          <w:rFonts w:ascii="仿宋_GB2312" w:eastAsia="仿宋_GB2312" w:hAnsi="仿宋" w:hint="eastAsia"/>
          <w:color w:val="000000" w:themeColor="text1"/>
          <w:sz w:val="28"/>
          <w:szCs w:val="28"/>
        </w:rPr>
        <w:t>，</w:t>
      </w:r>
      <w:r w:rsidRPr="00AD24B5">
        <w:rPr>
          <w:rFonts w:ascii="仿宋_GB2312" w:eastAsia="仿宋_GB2312" w:hAnsi="仿宋" w:hint="eastAsia"/>
          <w:color w:val="000000" w:themeColor="text1"/>
          <w:sz w:val="28"/>
          <w:szCs w:val="28"/>
        </w:rPr>
        <w:t>不做优势</w:t>
      </w:r>
      <w:r w:rsidR="00B64154" w:rsidRPr="00AD24B5">
        <w:rPr>
          <w:rFonts w:ascii="仿宋_GB2312" w:eastAsia="仿宋_GB2312" w:hAnsi="仿宋" w:hint="eastAsia"/>
          <w:color w:val="000000" w:themeColor="text1"/>
          <w:sz w:val="28"/>
          <w:szCs w:val="28"/>
        </w:rPr>
        <w:t>性</w:t>
      </w:r>
      <w:r w:rsidRPr="00AD24B5">
        <w:rPr>
          <w:rFonts w:ascii="仿宋_GB2312" w:eastAsia="仿宋_GB2312" w:hAnsi="仿宋" w:hint="eastAsia"/>
          <w:color w:val="000000" w:themeColor="text1"/>
          <w:sz w:val="28"/>
          <w:szCs w:val="28"/>
        </w:rPr>
        <w:t>比较</w:t>
      </w:r>
      <w:r w:rsidR="00012C83" w:rsidRPr="00AD24B5">
        <w:rPr>
          <w:rFonts w:ascii="仿宋_GB2312" w:eastAsia="仿宋_GB2312" w:hAnsi="仿宋" w:hint="eastAsia"/>
          <w:color w:val="000000" w:themeColor="text1"/>
          <w:sz w:val="28"/>
          <w:szCs w:val="28"/>
        </w:rPr>
        <w:t>。</w:t>
      </w:r>
    </w:p>
    <w:p w14:paraId="3477EE4E" w14:textId="6D97BB2E" w:rsidR="00D6342A" w:rsidRPr="00AD24B5" w:rsidRDefault="00240567" w:rsidP="00D6342A">
      <w:pPr>
        <w:ind w:firstLineChars="200" w:firstLine="560"/>
        <w:rPr>
          <w:rFonts w:ascii="仿宋_GB2312" w:eastAsia="仿宋_GB2312" w:hAnsi="仿宋"/>
          <w:color w:val="000000" w:themeColor="text1"/>
          <w:sz w:val="28"/>
          <w:szCs w:val="28"/>
        </w:rPr>
      </w:pPr>
      <w:r w:rsidRPr="00AD24B5">
        <w:rPr>
          <w:rFonts w:ascii="仿宋_GB2312" w:eastAsia="仿宋_GB2312" w:hAnsi="仿宋" w:hint="eastAsia"/>
          <w:color w:val="000000" w:themeColor="text1"/>
          <w:sz w:val="28"/>
          <w:szCs w:val="28"/>
        </w:rPr>
        <w:t>（三）</w:t>
      </w:r>
      <w:r w:rsidR="00D6342A" w:rsidRPr="00AD24B5">
        <w:rPr>
          <w:rFonts w:ascii="仿宋_GB2312" w:eastAsia="仿宋_GB2312" w:hAnsi="仿宋" w:hint="eastAsia"/>
          <w:color w:val="000000" w:themeColor="text1"/>
          <w:sz w:val="28"/>
          <w:szCs w:val="28"/>
        </w:rPr>
        <w:t>长期广泛的境内外人用经验可以作为重要证据，用于评估非处方药在我国上市的获益风险，并根据评估结果，考虑适当简化或豁免上市注册相关</w:t>
      </w:r>
      <w:r w:rsidR="009958FF" w:rsidRPr="00AD24B5">
        <w:rPr>
          <w:rFonts w:ascii="仿宋_GB2312" w:eastAsia="仿宋_GB2312" w:hAnsi="仿宋" w:hint="eastAsia"/>
          <w:color w:val="000000" w:themeColor="text1"/>
          <w:sz w:val="28"/>
          <w:szCs w:val="28"/>
        </w:rPr>
        <w:t>临床</w:t>
      </w:r>
      <w:r w:rsidR="00D6342A" w:rsidRPr="00AD24B5">
        <w:rPr>
          <w:rFonts w:ascii="仿宋_GB2312" w:eastAsia="仿宋_GB2312" w:hAnsi="仿宋" w:hint="eastAsia"/>
          <w:color w:val="000000" w:themeColor="text1"/>
          <w:sz w:val="28"/>
          <w:szCs w:val="28"/>
        </w:rPr>
        <w:t>研究。</w:t>
      </w:r>
    </w:p>
    <w:p w14:paraId="083A05A1" w14:textId="593047BE" w:rsidR="003B1CBE" w:rsidRPr="00AD24B5" w:rsidRDefault="00240567" w:rsidP="00483A1F">
      <w:pPr>
        <w:ind w:firstLineChars="200" w:firstLine="560"/>
        <w:rPr>
          <w:rFonts w:ascii="仿宋_GB2312" w:eastAsia="仿宋_GB2312"/>
        </w:rPr>
      </w:pPr>
      <w:r w:rsidRPr="00AD24B5">
        <w:rPr>
          <w:rFonts w:ascii="仿宋_GB2312" w:eastAsia="仿宋_GB2312" w:hAnsi="仿宋" w:hint="eastAsia"/>
          <w:color w:val="000000" w:themeColor="text1"/>
          <w:sz w:val="28"/>
          <w:szCs w:val="28"/>
        </w:rPr>
        <w:t>（四）</w:t>
      </w:r>
      <w:r w:rsidR="004B0743" w:rsidRPr="00AD24B5">
        <w:rPr>
          <w:rFonts w:ascii="仿宋_GB2312" w:eastAsia="仿宋_GB2312" w:hAnsi="仿宋" w:hint="eastAsia"/>
          <w:sz w:val="28"/>
          <w:szCs w:val="28"/>
        </w:rPr>
        <w:t>对于</w:t>
      </w:r>
      <w:r w:rsidR="003B1CBE" w:rsidRPr="00AD24B5">
        <w:rPr>
          <w:rFonts w:ascii="仿宋_GB2312" w:eastAsia="仿宋_GB2312" w:hAnsi="仿宋" w:hint="eastAsia"/>
          <w:sz w:val="28"/>
          <w:szCs w:val="28"/>
        </w:rPr>
        <w:t>难以明确参比制剂的</w:t>
      </w:r>
      <w:r w:rsidR="004B0743" w:rsidRPr="00AD24B5">
        <w:rPr>
          <w:rFonts w:ascii="仿宋_GB2312" w:eastAsia="仿宋_GB2312" w:hAnsi="仿宋" w:hint="eastAsia"/>
          <w:sz w:val="28"/>
          <w:szCs w:val="28"/>
        </w:rPr>
        <w:t>非处方药品种，在认可</w:t>
      </w:r>
      <w:r w:rsidR="00483A1F" w:rsidRPr="00AD24B5">
        <w:rPr>
          <w:rFonts w:ascii="仿宋_GB2312" w:eastAsia="仿宋_GB2312" w:hAnsi="仿宋" w:hint="eastAsia"/>
          <w:sz w:val="28"/>
          <w:szCs w:val="28"/>
        </w:rPr>
        <w:t>临床价值（临床需求）的前提下，可采用质量</w:t>
      </w:r>
      <w:r w:rsidR="004B0743" w:rsidRPr="00AD24B5">
        <w:rPr>
          <w:rFonts w:ascii="仿宋_GB2312" w:eastAsia="仿宋_GB2312" w:hAnsi="仿宋" w:hint="eastAsia"/>
          <w:sz w:val="28"/>
          <w:szCs w:val="28"/>
        </w:rPr>
        <w:t>提升</w:t>
      </w:r>
      <w:r w:rsidR="00483A1F" w:rsidRPr="00AD24B5">
        <w:rPr>
          <w:rFonts w:ascii="仿宋_GB2312" w:eastAsia="仿宋_GB2312" w:hAnsi="仿宋" w:hint="eastAsia"/>
          <w:sz w:val="28"/>
          <w:szCs w:val="28"/>
        </w:rPr>
        <w:t>方式开展仿制药评价</w:t>
      </w:r>
      <w:r w:rsidR="003B1CBE" w:rsidRPr="00AD24B5">
        <w:rPr>
          <w:rFonts w:ascii="仿宋_GB2312" w:eastAsia="仿宋_GB2312" w:hAnsi="仿宋" w:hint="eastAsia"/>
          <w:sz w:val="28"/>
          <w:szCs w:val="28"/>
        </w:rPr>
        <w:t>。</w:t>
      </w:r>
    </w:p>
    <w:p w14:paraId="389A9BA9" w14:textId="78D67D3E" w:rsidR="00043559" w:rsidRPr="00AD24B5" w:rsidRDefault="007D123D" w:rsidP="00240567">
      <w:pPr>
        <w:pStyle w:val="1"/>
        <w:rPr>
          <w:rFonts w:ascii="仿宋_GB2312" w:eastAsia="仿宋_GB2312"/>
          <w:sz w:val="28"/>
        </w:rPr>
      </w:pPr>
      <w:bookmarkStart w:id="2" w:name="_Toc44317883"/>
      <w:r w:rsidRPr="00AD24B5">
        <w:rPr>
          <w:rFonts w:ascii="仿宋_GB2312" w:eastAsia="仿宋_GB2312" w:hint="eastAsia"/>
          <w:sz w:val="28"/>
        </w:rPr>
        <w:t>三、</w:t>
      </w:r>
      <w:r w:rsidR="00012C83" w:rsidRPr="00AD24B5">
        <w:rPr>
          <w:rFonts w:ascii="仿宋_GB2312" w:eastAsia="仿宋_GB2312" w:hint="eastAsia"/>
          <w:sz w:val="28"/>
        </w:rPr>
        <w:t>技术要求</w:t>
      </w:r>
      <w:bookmarkEnd w:id="2"/>
    </w:p>
    <w:p w14:paraId="41708DEF" w14:textId="38B1BE51" w:rsidR="00BE4598" w:rsidRPr="00AD24B5" w:rsidRDefault="00337A1F" w:rsidP="00240567">
      <w:pPr>
        <w:shd w:val="clear" w:color="auto" w:fill="FFFFFF"/>
        <w:spacing w:line="600" w:lineRule="atLeast"/>
        <w:ind w:firstLine="640"/>
        <w:rPr>
          <w:rFonts w:ascii="仿宋_GB2312" w:eastAsia="仿宋_GB2312" w:hAnsi="仿宋"/>
          <w:sz w:val="28"/>
          <w:szCs w:val="28"/>
        </w:rPr>
      </w:pPr>
      <w:r w:rsidRPr="00AD24B5">
        <w:rPr>
          <w:rFonts w:ascii="仿宋_GB2312" w:eastAsia="仿宋_GB2312" w:hAnsi="仿宋" w:hint="eastAsia"/>
          <w:sz w:val="28"/>
          <w:szCs w:val="28"/>
        </w:rPr>
        <w:t>按照</w:t>
      </w:r>
      <w:r w:rsidR="00BE4598" w:rsidRPr="00AD24B5">
        <w:rPr>
          <w:rFonts w:ascii="仿宋_GB2312" w:eastAsia="仿宋_GB2312" w:hAnsi="仿宋" w:hint="eastAsia"/>
          <w:sz w:val="28"/>
          <w:szCs w:val="28"/>
        </w:rPr>
        <w:t>《药品注册管理办法》</w:t>
      </w:r>
      <w:r w:rsidR="00407ECA" w:rsidRPr="00AD24B5">
        <w:rPr>
          <w:rFonts w:ascii="仿宋_GB2312" w:eastAsia="仿宋_GB2312" w:hAnsi="黑体" w:hint="eastAsia"/>
          <w:kern w:val="0"/>
          <w:sz w:val="28"/>
          <w:szCs w:val="32"/>
        </w:rPr>
        <w:t>第三十六条</w:t>
      </w:r>
      <w:r w:rsidR="00012C83" w:rsidRPr="00AD24B5">
        <w:rPr>
          <w:rFonts w:ascii="仿宋_GB2312" w:eastAsia="仿宋_GB2312" w:hAnsi="黑体" w:hint="eastAsia"/>
          <w:kern w:val="0"/>
          <w:sz w:val="28"/>
          <w:szCs w:val="32"/>
        </w:rPr>
        <w:t>规定</w:t>
      </w:r>
      <w:r w:rsidR="00240567" w:rsidRPr="00AD24B5">
        <w:rPr>
          <w:rFonts w:ascii="仿宋_GB2312" w:eastAsia="仿宋_GB2312" w:hAnsi="黑体" w:hint="eastAsia"/>
          <w:kern w:val="0"/>
          <w:sz w:val="28"/>
          <w:szCs w:val="32"/>
        </w:rPr>
        <w:t>的</w:t>
      </w:r>
      <w:r w:rsidR="00BE4598" w:rsidRPr="00AD24B5">
        <w:rPr>
          <w:rFonts w:ascii="仿宋_GB2312" w:eastAsia="仿宋_GB2312" w:hint="eastAsia"/>
          <w:kern w:val="0"/>
          <w:sz w:val="28"/>
          <w:szCs w:val="32"/>
        </w:rPr>
        <w:t>可以直接提出非处方药上市许可申请</w:t>
      </w:r>
      <w:r w:rsidR="00240567" w:rsidRPr="00AD24B5">
        <w:rPr>
          <w:rFonts w:ascii="仿宋_GB2312" w:eastAsia="仿宋_GB2312" w:hint="eastAsia"/>
          <w:kern w:val="0"/>
          <w:sz w:val="28"/>
          <w:szCs w:val="32"/>
        </w:rPr>
        <w:t>的四种情形，</w:t>
      </w:r>
      <w:r w:rsidR="00A454C5" w:rsidRPr="00AD24B5">
        <w:rPr>
          <w:rFonts w:ascii="仿宋_GB2312" w:eastAsia="仿宋_GB2312" w:hAnsi="仿宋" w:hint="eastAsia"/>
          <w:sz w:val="28"/>
          <w:szCs w:val="28"/>
        </w:rPr>
        <w:t>分别从药学</w:t>
      </w:r>
      <w:r w:rsidR="007D123D" w:rsidRPr="00AD24B5">
        <w:rPr>
          <w:rFonts w:ascii="仿宋_GB2312" w:eastAsia="仿宋_GB2312" w:hAnsi="仿宋" w:hint="eastAsia"/>
          <w:sz w:val="28"/>
          <w:szCs w:val="28"/>
        </w:rPr>
        <w:t>研究</w:t>
      </w:r>
      <w:r w:rsidR="00A454C5" w:rsidRPr="00AD24B5">
        <w:rPr>
          <w:rFonts w:ascii="仿宋_GB2312" w:eastAsia="仿宋_GB2312" w:hAnsi="仿宋" w:hint="eastAsia"/>
          <w:sz w:val="28"/>
          <w:szCs w:val="28"/>
        </w:rPr>
        <w:t>、药理毒理</w:t>
      </w:r>
      <w:r w:rsidR="007D123D" w:rsidRPr="00AD24B5">
        <w:rPr>
          <w:rFonts w:ascii="仿宋_GB2312" w:eastAsia="仿宋_GB2312" w:hAnsi="仿宋" w:hint="eastAsia"/>
          <w:sz w:val="28"/>
          <w:szCs w:val="28"/>
        </w:rPr>
        <w:t>学研究</w:t>
      </w:r>
      <w:r w:rsidR="00A454C5" w:rsidRPr="00AD24B5">
        <w:rPr>
          <w:rFonts w:ascii="仿宋_GB2312" w:eastAsia="仿宋_GB2312" w:hAnsi="仿宋" w:hint="eastAsia"/>
          <w:sz w:val="28"/>
          <w:szCs w:val="28"/>
        </w:rPr>
        <w:t>、临床药理</w:t>
      </w:r>
      <w:r w:rsidR="007D123D" w:rsidRPr="00AD24B5">
        <w:rPr>
          <w:rFonts w:ascii="仿宋_GB2312" w:eastAsia="仿宋_GB2312" w:hAnsi="仿宋" w:hint="eastAsia"/>
          <w:sz w:val="28"/>
          <w:szCs w:val="28"/>
        </w:rPr>
        <w:t>学研究</w:t>
      </w:r>
      <w:r w:rsidR="00407ECA" w:rsidRPr="00AD24B5">
        <w:rPr>
          <w:rFonts w:ascii="仿宋_GB2312" w:eastAsia="仿宋_GB2312" w:hAnsi="仿宋" w:hint="eastAsia"/>
          <w:sz w:val="28"/>
          <w:szCs w:val="28"/>
        </w:rPr>
        <w:t>和临床</w:t>
      </w:r>
      <w:r w:rsidR="007D123D" w:rsidRPr="00AD24B5">
        <w:rPr>
          <w:rFonts w:ascii="仿宋_GB2312" w:eastAsia="仿宋_GB2312" w:hAnsi="仿宋" w:hint="eastAsia"/>
          <w:sz w:val="28"/>
          <w:szCs w:val="28"/>
        </w:rPr>
        <w:t>研究</w:t>
      </w:r>
      <w:r w:rsidR="00A454C5" w:rsidRPr="00AD24B5">
        <w:rPr>
          <w:rFonts w:ascii="仿宋_GB2312" w:eastAsia="仿宋_GB2312" w:hAnsi="仿宋" w:hint="eastAsia"/>
          <w:sz w:val="28"/>
          <w:szCs w:val="28"/>
        </w:rPr>
        <w:t>方面对相关</w:t>
      </w:r>
      <w:r w:rsidR="00882DB7" w:rsidRPr="00AD24B5">
        <w:rPr>
          <w:rFonts w:ascii="仿宋_GB2312" w:eastAsia="仿宋_GB2312" w:hAnsi="仿宋" w:hint="eastAsia"/>
          <w:sz w:val="28"/>
          <w:szCs w:val="28"/>
        </w:rPr>
        <w:t>技术要求</w:t>
      </w:r>
      <w:r w:rsidR="007D123D" w:rsidRPr="00AD24B5">
        <w:rPr>
          <w:rFonts w:ascii="仿宋_GB2312" w:eastAsia="仿宋_GB2312" w:hAnsi="仿宋" w:hint="eastAsia"/>
          <w:sz w:val="28"/>
          <w:szCs w:val="28"/>
        </w:rPr>
        <w:t>提出建议，与四种情形相对应的具体研究要求</w:t>
      </w:r>
      <w:r w:rsidR="00E74682" w:rsidRPr="00AD24B5">
        <w:rPr>
          <w:rFonts w:ascii="仿宋_GB2312" w:eastAsia="仿宋_GB2312" w:hAnsi="仿宋" w:hint="eastAsia"/>
          <w:sz w:val="28"/>
          <w:szCs w:val="28"/>
        </w:rPr>
        <w:t>详见</w:t>
      </w:r>
      <w:r w:rsidR="000D6907" w:rsidRPr="00AD24B5">
        <w:rPr>
          <w:rFonts w:ascii="仿宋_GB2312" w:eastAsia="仿宋_GB2312" w:hAnsi="仿宋" w:hint="eastAsia"/>
          <w:sz w:val="28"/>
          <w:szCs w:val="28"/>
        </w:rPr>
        <w:t>附</w:t>
      </w:r>
      <w:r w:rsidR="00E4517E" w:rsidRPr="00AD24B5">
        <w:rPr>
          <w:rFonts w:ascii="仿宋_GB2312" w:eastAsia="仿宋_GB2312" w:hAnsi="仿宋" w:hint="eastAsia"/>
          <w:sz w:val="28"/>
          <w:szCs w:val="28"/>
        </w:rPr>
        <w:t>表</w:t>
      </w:r>
      <w:r w:rsidR="00A454C5" w:rsidRPr="00AD24B5">
        <w:rPr>
          <w:rFonts w:ascii="仿宋_GB2312" w:eastAsia="仿宋_GB2312" w:hAnsi="仿宋" w:hint="eastAsia"/>
          <w:sz w:val="28"/>
          <w:szCs w:val="28"/>
        </w:rPr>
        <w:t>。</w:t>
      </w:r>
    </w:p>
    <w:p w14:paraId="1601E41E" w14:textId="29100BB8" w:rsidR="00BE4598" w:rsidRPr="00AD24B5" w:rsidRDefault="00240567" w:rsidP="00240567">
      <w:pPr>
        <w:pStyle w:val="2"/>
        <w:rPr>
          <w:rFonts w:ascii="仿宋_GB2312" w:eastAsia="仿宋_GB2312" w:hAnsi="宋体" w:cs="Times New Roman"/>
          <w:kern w:val="44"/>
          <w:sz w:val="28"/>
          <w:szCs w:val="44"/>
        </w:rPr>
      </w:pPr>
      <w:bookmarkStart w:id="3" w:name="_Toc44317884"/>
      <w:r w:rsidRPr="00AD24B5">
        <w:rPr>
          <w:rFonts w:ascii="仿宋_GB2312" w:eastAsia="仿宋_GB2312" w:hAnsi="宋体" w:cs="Times New Roman" w:hint="eastAsia"/>
          <w:kern w:val="44"/>
          <w:sz w:val="28"/>
          <w:szCs w:val="44"/>
        </w:rPr>
        <w:lastRenderedPageBreak/>
        <w:t>（一）</w:t>
      </w:r>
      <w:r w:rsidR="00407ECA" w:rsidRPr="00AD24B5">
        <w:rPr>
          <w:rFonts w:ascii="仿宋_GB2312" w:eastAsia="仿宋_GB2312" w:hAnsi="宋体" w:cs="Times New Roman" w:hint="eastAsia"/>
          <w:kern w:val="44"/>
          <w:sz w:val="28"/>
          <w:szCs w:val="44"/>
        </w:rPr>
        <w:t>药学</w:t>
      </w:r>
      <w:r w:rsidR="00ED5069" w:rsidRPr="00AD24B5">
        <w:rPr>
          <w:rFonts w:ascii="仿宋_GB2312" w:eastAsia="仿宋_GB2312" w:hAnsi="宋体" w:cs="Times New Roman" w:hint="eastAsia"/>
          <w:kern w:val="44"/>
          <w:sz w:val="28"/>
          <w:szCs w:val="44"/>
        </w:rPr>
        <w:t>研究</w:t>
      </w:r>
      <w:bookmarkEnd w:id="3"/>
    </w:p>
    <w:p w14:paraId="64834A9D" w14:textId="3C76FC98" w:rsidR="00407ECA" w:rsidRPr="00AD24B5" w:rsidRDefault="006E20D2" w:rsidP="00A454C5">
      <w:pPr>
        <w:ind w:firstLineChars="200" w:firstLine="560"/>
        <w:rPr>
          <w:rFonts w:ascii="仿宋_GB2312" w:eastAsia="仿宋_GB2312" w:hAnsi="仿宋"/>
          <w:sz w:val="28"/>
          <w:szCs w:val="28"/>
        </w:rPr>
      </w:pPr>
      <w:r w:rsidRPr="00AD24B5">
        <w:rPr>
          <w:rFonts w:ascii="仿宋_GB2312" w:eastAsia="仿宋_GB2312" w:hAnsi="仿宋" w:hint="eastAsia"/>
          <w:sz w:val="28"/>
          <w:szCs w:val="28"/>
        </w:rPr>
        <w:t>质量可控是支持药品</w:t>
      </w:r>
      <w:r w:rsidR="00407ECA" w:rsidRPr="00AD24B5">
        <w:rPr>
          <w:rFonts w:ascii="仿宋_GB2312" w:eastAsia="仿宋_GB2312" w:hAnsi="仿宋" w:hint="eastAsia"/>
          <w:sz w:val="28"/>
          <w:szCs w:val="28"/>
        </w:rPr>
        <w:t>注册上市</w:t>
      </w:r>
      <w:r w:rsidR="00320927" w:rsidRPr="00AD24B5">
        <w:rPr>
          <w:rFonts w:ascii="仿宋_GB2312" w:eastAsia="仿宋_GB2312" w:hAnsi="仿宋" w:hint="eastAsia"/>
          <w:sz w:val="28"/>
          <w:szCs w:val="28"/>
        </w:rPr>
        <w:t>的</w:t>
      </w:r>
      <w:r w:rsidRPr="00AD24B5">
        <w:rPr>
          <w:rFonts w:ascii="仿宋_GB2312" w:eastAsia="仿宋_GB2312" w:hAnsi="仿宋" w:hint="eastAsia"/>
          <w:sz w:val="28"/>
          <w:szCs w:val="28"/>
        </w:rPr>
        <w:t>基本要求</w:t>
      </w:r>
      <w:r w:rsidR="00320927" w:rsidRPr="00AD24B5">
        <w:rPr>
          <w:rFonts w:ascii="仿宋_GB2312" w:eastAsia="仿宋_GB2312" w:hAnsi="仿宋" w:hint="eastAsia"/>
          <w:sz w:val="28"/>
          <w:szCs w:val="28"/>
        </w:rPr>
        <w:t>。</w:t>
      </w:r>
      <w:r w:rsidR="00EF1C61" w:rsidRPr="00AD24B5">
        <w:rPr>
          <w:rFonts w:ascii="仿宋_GB2312" w:eastAsia="仿宋_GB2312" w:hAnsi="仿宋" w:hint="eastAsia"/>
          <w:sz w:val="28"/>
          <w:szCs w:val="28"/>
        </w:rPr>
        <w:t>对于</w:t>
      </w:r>
      <w:r w:rsidR="00A454C5" w:rsidRPr="00AD24B5">
        <w:rPr>
          <w:rFonts w:ascii="仿宋_GB2312" w:eastAsia="仿宋_GB2312" w:hAnsi="仿宋" w:hint="eastAsia"/>
          <w:sz w:val="28"/>
          <w:szCs w:val="28"/>
        </w:rPr>
        <w:t>非处方药的质量可控性</w:t>
      </w:r>
      <w:r w:rsidR="00EF1C61" w:rsidRPr="00AD24B5">
        <w:rPr>
          <w:rFonts w:ascii="仿宋_GB2312" w:eastAsia="仿宋_GB2312" w:hAnsi="仿宋" w:hint="eastAsia"/>
          <w:sz w:val="28"/>
          <w:szCs w:val="28"/>
        </w:rPr>
        <w:t>要求与处方药一致。</w:t>
      </w:r>
      <w:r w:rsidR="00320927" w:rsidRPr="00AD24B5">
        <w:rPr>
          <w:rFonts w:ascii="仿宋_GB2312" w:eastAsia="仿宋_GB2312" w:hAnsi="仿宋" w:hint="eastAsia"/>
          <w:sz w:val="28"/>
          <w:szCs w:val="28"/>
        </w:rPr>
        <w:t>对于参比制剂已公示认可的品种，应开展与参比制剂的药学对比研究</w:t>
      </w:r>
      <w:r w:rsidR="00A454C5" w:rsidRPr="00AD24B5">
        <w:rPr>
          <w:rFonts w:ascii="仿宋_GB2312" w:eastAsia="仿宋_GB2312" w:hAnsi="仿宋" w:hint="eastAsia"/>
          <w:sz w:val="28"/>
          <w:szCs w:val="28"/>
        </w:rPr>
        <w:t>。</w:t>
      </w:r>
      <w:r w:rsidR="00C379C4" w:rsidRPr="00AD24B5">
        <w:rPr>
          <w:rFonts w:ascii="仿宋_GB2312" w:eastAsia="仿宋_GB2312" w:hAnsi="仿宋" w:hint="eastAsia"/>
          <w:sz w:val="28"/>
          <w:szCs w:val="28"/>
        </w:rPr>
        <w:t>考虑</w:t>
      </w:r>
      <w:r w:rsidR="00A454C5" w:rsidRPr="00AD24B5">
        <w:rPr>
          <w:rFonts w:ascii="仿宋_GB2312" w:eastAsia="仿宋_GB2312" w:hAnsi="仿宋" w:hint="eastAsia"/>
          <w:sz w:val="28"/>
          <w:szCs w:val="28"/>
        </w:rPr>
        <w:t>到</w:t>
      </w:r>
      <w:r w:rsidR="00C379C4" w:rsidRPr="00AD24B5">
        <w:rPr>
          <w:rFonts w:ascii="仿宋_GB2312" w:eastAsia="仿宋_GB2312" w:hAnsi="仿宋" w:hint="eastAsia"/>
          <w:sz w:val="28"/>
          <w:szCs w:val="28"/>
        </w:rPr>
        <w:t>部分</w:t>
      </w:r>
      <w:r w:rsidR="00A454C5" w:rsidRPr="00AD24B5">
        <w:rPr>
          <w:rFonts w:ascii="仿宋_GB2312" w:eastAsia="仿宋_GB2312" w:hAnsi="仿宋" w:hint="eastAsia"/>
          <w:sz w:val="28"/>
          <w:szCs w:val="28"/>
        </w:rPr>
        <w:t>非处方药上市时间较早，</w:t>
      </w:r>
      <w:r w:rsidR="00C379C4" w:rsidRPr="00AD24B5">
        <w:rPr>
          <w:rFonts w:ascii="仿宋_GB2312" w:eastAsia="仿宋_GB2312" w:hAnsi="仿宋" w:hint="eastAsia"/>
          <w:sz w:val="28"/>
          <w:szCs w:val="28"/>
        </w:rPr>
        <w:t>质量研究不充分，</w:t>
      </w:r>
      <w:r w:rsidR="00D910A8" w:rsidRPr="00AD24B5">
        <w:rPr>
          <w:rFonts w:ascii="仿宋_GB2312" w:eastAsia="仿宋_GB2312" w:hAnsi="仿宋" w:hint="eastAsia"/>
          <w:sz w:val="28"/>
          <w:szCs w:val="28"/>
        </w:rPr>
        <w:t>质量控制的部分指标或限度</w:t>
      </w:r>
      <w:r w:rsidR="00A454C5" w:rsidRPr="00AD24B5">
        <w:rPr>
          <w:rFonts w:ascii="仿宋_GB2312" w:eastAsia="仿宋_GB2312" w:hAnsi="仿宋" w:hint="eastAsia"/>
          <w:sz w:val="28"/>
          <w:szCs w:val="28"/>
        </w:rPr>
        <w:t>以现行</w:t>
      </w:r>
      <w:r w:rsidR="00C379C4" w:rsidRPr="00AD24B5">
        <w:rPr>
          <w:rFonts w:ascii="仿宋_GB2312" w:eastAsia="仿宋_GB2312" w:hAnsi="仿宋" w:hint="eastAsia"/>
          <w:sz w:val="28"/>
          <w:szCs w:val="28"/>
        </w:rPr>
        <w:t>技术要求</w:t>
      </w:r>
      <w:r w:rsidR="00D910A8" w:rsidRPr="00AD24B5">
        <w:rPr>
          <w:rFonts w:ascii="仿宋_GB2312" w:eastAsia="仿宋_GB2312" w:hAnsi="仿宋" w:hint="eastAsia"/>
          <w:sz w:val="28"/>
          <w:szCs w:val="28"/>
        </w:rPr>
        <w:t>为评价</w:t>
      </w:r>
      <w:r w:rsidR="00A454C5" w:rsidRPr="00AD24B5">
        <w:rPr>
          <w:rFonts w:ascii="仿宋_GB2312" w:eastAsia="仿宋_GB2312" w:hAnsi="仿宋" w:hint="eastAsia"/>
          <w:sz w:val="28"/>
          <w:szCs w:val="28"/>
        </w:rPr>
        <w:t>标准</w:t>
      </w:r>
      <w:r w:rsidR="00320927" w:rsidRPr="00AD24B5">
        <w:rPr>
          <w:rFonts w:ascii="仿宋_GB2312" w:eastAsia="仿宋_GB2312" w:hAnsi="仿宋" w:hint="eastAsia"/>
          <w:sz w:val="28"/>
          <w:szCs w:val="28"/>
        </w:rPr>
        <w:t>。</w:t>
      </w:r>
      <w:r w:rsidR="00D910A8" w:rsidRPr="00AD24B5">
        <w:rPr>
          <w:rFonts w:ascii="仿宋_GB2312" w:eastAsia="仿宋_GB2312" w:hAnsi="仿宋" w:hint="eastAsia"/>
          <w:sz w:val="28"/>
          <w:szCs w:val="28"/>
        </w:rPr>
        <w:t>对于难以明确参比制剂的非处方药品种，在认可临床价值（临床需求）的前提下，可采用质量提升方式开展仿制药评价</w:t>
      </w:r>
      <w:r w:rsidR="00320927" w:rsidRPr="00AD24B5">
        <w:rPr>
          <w:rFonts w:ascii="仿宋_GB2312" w:eastAsia="仿宋_GB2312" w:hAnsi="仿宋" w:hint="eastAsia"/>
          <w:sz w:val="28"/>
          <w:szCs w:val="28"/>
        </w:rPr>
        <w:t>。</w:t>
      </w:r>
    </w:p>
    <w:p w14:paraId="35C80AEF" w14:textId="1FB6C83A" w:rsidR="00320927" w:rsidRPr="00AD24B5" w:rsidRDefault="00240567" w:rsidP="00240567">
      <w:pPr>
        <w:pStyle w:val="2"/>
        <w:rPr>
          <w:rFonts w:ascii="仿宋_GB2312" w:eastAsia="仿宋_GB2312" w:hAnsi="宋体" w:cs="Times New Roman"/>
          <w:kern w:val="44"/>
          <w:sz w:val="28"/>
          <w:szCs w:val="44"/>
        </w:rPr>
      </w:pPr>
      <w:bookmarkStart w:id="4" w:name="_Toc44317885"/>
      <w:r w:rsidRPr="00AD24B5">
        <w:rPr>
          <w:rFonts w:ascii="仿宋_GB2312" w:eastAsia="仿宋_GB2312" w:hAnsi="宋体" w:cs="Times New Roman" w:hint="eastAsia"/>
          <w:kern w:val="44"/>
          <w:sz w:val="28"/>
          <w:szCs w:val="44"/>
        </w:rPr>
        <w:t>（二）</w:t>
      </w:r>
      <w:r w:rsidR="00320927" w:rsidRPr="00AD24B5">
        <w:rPr>
          <w:rFonts w:ascii="仿宋_GB2312" w:eastAsia="仿宋_GB2312" w:hAnsi="宋体" w:cs="Times New Roman" w:hint="eastAsia"/>
          <w:kern w:val="44"/>
          <w:sz w:val="28"/>
          <w:szCs w:val="44"/>
        </w:rPr>
        <w:t>药理毒理学</w:t>
      </w:r>
      <w:r w:rsidR="00ED5069" w:rsidRPr="00AD24B5">
        <w:rPr>
          <w:rFonts w:ascii="仿宋_GB2312" w:eastAsia="仿宋_GB2312" w:hAnsi="宋体" w:cs="Times New Roman" w:hint="eastAsia"/>
          <w:kern w:val="44"/>
          <w:sz w:val="28"/>
          <w:szCs w:val="44"/>
        </w:rPr>
        <w:t>研究</w:t>
      </w:r>
      <w:bookmarkEnd w:id="4"/>
    </w:p>
    <w:p w14:paraId="0925C9A6" w14:textId="05CEA5AE" w:rsidR="00320927" w:rsidRPr="00AD24B5" w:rsidRDefault="00320927" w:rsidP="0089662A">
      <w:pPr>
        <w:ind w:firstLineChars="200" w:firstLine="560"/>
        <w:rPr>
          <w:rFonts w:ascii="仿宋_GB2312" w:eastAsia="仿宋_GB2312" w:hAnsi="仿宋"/>
          <w:sz w:val="28"/>
          <w:szCs w:val="28"/>
        </w:rPr>
      </w:pPr>
      <w:r w:rsidRPr="00AD24B5">
        <w:rPr>
          <w:rFonts w:ascii="仿宋_GB2312" w:eastAsia="仿宋_GB2312" w:hAnsi="仿宋" w:hint="eastAsia"/>
          <w:sz w:val="28"/>
          <w:szCs w:val="28"/>
        </w:rPr>
        <w:t>对于已有</w:t>
      </w:r>
      <w:r w:rsidR="00DA18D4" w:rsidRPr="00AD24B5">
        <w:rPr>
          <w:rFonts w:ascii="仿宋_GB2312" w:eastAsia="仿宋_GB2312" w:hAnsi="仿宋" w:hint="eastAsia"/>
          <w:sz w:val="28"/>
          <w:szCs w:val="28"/>
        </w:rPr>
        <w:t>长期广泛人用基础或已有较高质量临床研究证据的非处方药品种</w:t>
      </w:r>
      <w:r w:rsidRPr="00AD24B5">
        <w:rPr>
          <w:rFonts w:ascii="仿宋_GB2312" w:eastAsia="仿宋_GB2312" w:hAnsi="仿宋" w:hint="eastAsia"/>
          <w:sz w:val="28"/>
          <w:szCs w:val="28"/>
        </w:rPr>
        <w:t>，通常不再要求进行临床前药理</w:t>
      </w:r>
      <w:r w:rsidR="00DA18D4" w:rsidRPr="00AD24B5">
        <w:rPr>
          <w:rFonts w:ascii="仿宋_GB2312" w:eastAsia="仿宋_GB2312" w:hAnsi="仿宋" w:hint="eastAsia"/>
          <w:sz w:val="28"/>
          <w:szCs w:val="28"/>
        </w:rPr>
        <w:t>毒理学研究。如无法提供充分证据支持人体安全性或药效可靠性</w:t>
      </w:r>
      <w:r w:rsidRPr="00AD24B5">
        <w:rPr>
          <w:rFonts w:ascii="仿宋_GB2312" w:eastAsia="仿宋_GB2312" w:hAnsi="仿宋" w:hint="eastAsia"/>
          <w:sz w:val="28"/>
          <w:szCs w:val="28"/>
        </w:rPr>
        <w:t>，应考虑开展适当的临床前药理毒理学研究，提供</w:t>
      </w:r>
      <w:r w:rsidR="00354766" w:rsidRPr="00AD24B5">
        <w:rPr>
          <w:rFonts w:ascii="仿宋_GB2312" w:eastAsia="仿宋_GB2312" w:hAnsi="仿宋" w:hint="eastAsia"/>
          <w:sz w:val="28"/>
          <w:szCs w:val="28"/>
        </w:rPr>
        <w:t>非临床药效和安全性方面的</w:t>
      </w:r>
      <w:r w:rsidRPr="00AD24B5">
        <w:rPr>
          <w:rFonts w:ascii="仿宋_GB2312" w:eastAsia="仿宋_GB2312" w:hAnsi="仿宋" w:hint="eastAsia"/>
          <w:sz w:val="28"/>
          <w:szCs w:val="28"/>
        </w:rPr>
        <w:t>证据，为后续进入人体试验或人体应用的获益风险评估提供支持。</w:t>
      </w:r>
    </w:p>
    <w:p w14:paraId="4CB92814" w14:textId="6E23198F" w:rsidR="00407ECA" w:rsidRPr="00AD24B5" w:rsidRDefault="00240567" w:rsidP="00240567">
      <w:pPr>
        <w:pStyle w:val="2"/>
        <w:rPr>
          <w:rFonts w:ascii="仿宋_GB2312" w:eastAsia="仿宋_GB2312" w:hAnsi="宋体" w:cs="Times New Roman"/>
          <w:kern w:val="44"/>
          <w:sz w:val="28"/>
          <w:szCs w:val="44"/>
        </w:rPr>
      </w:pPr>
      <w:bookmarkStart w:id="5" w:name="_Toc44317886"/>
      <w:r w:rsidRPr="00AD24B5">
        <w:rPr>
          <w:rFonts w:ascii="仿宋_GB2312" w:eastAsia="仿宋_GB2312" w:hAnsi="宋体" w:cs="Times New Roman" w:hint="eastAsia"/>
          <w:kern w:val="44"/>
          <w:sz w:val="28"/>
          <w:szCs w:val="44"/>
        </w:rPr>
        <w:t>（三）</w:t>
      </w:r>
      <w:r w:rsidR="00AE3DF6" w:rsidRPr="00AD24B5">
        <w:rPr>
          <w:rFonts w:ascii="仿宋_GB2312" w:eastAsia="仿宋_GB2312" w:hAnsi="宋体" w:cs="Times New Roman" w:hint="eastAsia"/>
          <w:kern w:val="44"/>
          <w:sz w:val="28"/>
          <w:szCs w:val="44"/>
        </w:rPr>
        <w:t>临床药理学</w:t>
      </w:r>
      <w:r w:rsidR="00ED5069" w:rsidRPr="00AD24B5">
        <w:rPr>
          <w:rFonts w:ascii="仿宋_GB2312" w:eastAsia="仿宋_GB2312" w:hAnsi="宋体" w:cs="Times New Roman" w:hint="eastAsia"/>
          <w:kern w:val="44"/>
          <w:sz w:val="28"/>
          <w:szCs w:val="44"/>
        </w:rPr>
        <w:t>研究</w:t>
      </w:r>
      <w:bookmarkEnd w:id="5"/>
    </w:p>
    <w:p w14:paraId="6D1164D1" w14:textId="79552371" w:rsidR="001A1A90" w:rsidRPr="00AD24B5" w:rsidRDefault="0089662A" w:rsidP="001A1A90">
      <w:pPr>
        <w:ind w:firstLineChars="200" w:firstLine="560"/>
        <w:rPr>
          <w:rFonts w:ascii="仿宋_GB2312" w:eastAsia="仿宋_GB2312" w:hAnsi="仿宋"/>
          <w:sz w:val="28"/>
          <w:szCs w:val="28"/>
        </w:rPr>
      </w:pPr>
      <w:r w:rsidRPr="00AD24B5">
        <w:rPr>
          <w:rFonts w:ascii="仿宋_GB2312" w:eastAsia="仿宋_GB2312" w:hAnsi="仿宋" w:hint="eastAsia"/>
          <w:sz w:val="28"/>
          <w:szCs w:val="28"/>
        </w:rPr>
        <w:t>针对非处方药的仿制开发，遵循与处方药一致的原则，通过适当的研究证明与参比制剂的生物等效性。</w:t>
      </w:r>
      <w:r w:rsidR="00F1570A" w:rsidRPr="00AD24B5">
        <w:rPr>
          <w:rFonts w:ascii="仿宋_GB2312" w:eastAsia="仿宋_GB2312" w:hAnsi="仿宋" w:hint="eastAsia"/>
          <w:sz w:val="28"/>
          <w:szCs w:val="28"/>
        </w:rPr>
        <w:t>对于外用局部起效的非处方仿制药</w:t>
      </w:r>
      <w:r w:rsidR="00367BF5" w:rsidRPr="00AD24B5">
        <w:rPr>
          <w:rFonts w:ascii="仿宋_GB2312" w:eastAsia="仿宋_GB2312" w:hAnsi="仿宋" w:hint="eastAsia"/>
          <w:sz w:val="28"/>
          <w:szCs w:val="28"/>
        </w:rPr>
        <w:t>，在确保药品质量和局部安全性与参比制剂基本</w:t>
      </w:r>
      <w:r w:rsidR="00A4101F" w:rsidRPr="00AD24B5">
        <w:rPr>
          <w:rFonts w:ascii="仿宋_GB2312" w:eastAsia="仿宋_GB2312" w:hAnsi="仿宋" w:hint="eastAsia"/>
          <w:sz w:val="28"/>
          <w:szCs w:val="28"/>
        </w:rPr>
        <w:t>一致的前提下，可以豁免生物等效性研究。</w:t>
      </w:r>
    </w:p>
    <w:p w14:paraId="1AC65511" w14:textId="4F559259" w:rsidR="003B1CBE" w:rsidRPr="00AD24B5" w:rsidRDefault="00E35AF4" w:rsidP="001A1A90">
      <w:pPr>
        <w:ind w:firstLineChars="200" w:firstLine="560"/>
        <w:rPr>
          <w:rFonts w:ascii="仿宋_GB2312" w:eastAsia="仿宋_GB2312" w:hAnsi="仿宋"/>
          <w:sz w:val="28"/>
          <w:szCs w:val="28"/>
        </w:rPr>
      </w:pPr>
      <w:r w:rsidRPr="00AD24B5">
        <w:rPr>
          <w:rFonts w:ascii="仿宋_GB2312" w:eastAsia="仿宋_GB2312" w:hAnsi="仿宋" w:hint="eastAsia"/>
          <w:sz w:val="28"/>
          <w:szCs w:val="28"/>
        </w:rPr>
        <w:lastRenderedPageBreak/>
        <w:t>对于</w:t>
      </w:r>
      <w:r w:rsidR="001A1A90" w:rsidRPr="00AD24B5">
        <w:rPr>
          <w:rFonts w:ascii="仿宋_GB2312" w:eastAsia="仿宋_GB2312" w:hAnsi="仿宋" w:hint="eastAsia"/>
          <w:sz w:val="28"/>
          <w:szCs w:val="28"/>
        </w:rPr>
        <w:t>改剂型或改</w:t>
      </w:r>
      <w:r w:rsidR="003B1CBE" w:rsidRPr="00AD24B5">
        <w:rPr>
          <w:rFonts w:ascii="仿宋_GB2312" w:eastAsia="仿宋_GB2312" w:hAnsi="仿宋" w:hint="eastAsia"/>
          <w:sz w:val="28"/>
          <w:szCs w:val="28"/>
        </w:rPr>
        <w:t>规格</w:t>
      </w:r>
      <w:r w:rsidR="00373C45" w:rsidRPr="00AD24B5">
        <w:rPr>
          <w:rFonts w:ascii="仿宋_GB2312" w:eastAsia="仿宋_GB2312" w:hAnsi="仿宋" w:hint="eastAsia"/>
          <w:sz w:val="28"/>
          <w:szCs w:val="28"/>
        </w:rPr>
        <w:t>的</w:t>
      </w:r>
      <w:r w:rsidR="001A1A90" w:rsidRPr="00AD24B5">
        <w:rPr>
          <w:rFonts w:ascii="仿宋_GB2312" w:eastAsia="仿宋_GB2312" w:hAnsi="仿宋" w:hint="eastAsia"/>
          <w:sz w:val="28"/>
          <w:szCs w:val="28"/>
        </w:rPr>
        <w:t>非处方药品种</w:t>
      </w:r>
      <w:r w:rsidR="00373C45" w:rsidRPr="00AD24B5">
        <w:rPr>
          <w:rFonts w:ascii="仿宋_GB2312" w:eastAsia="仿宋_GB2312" w:hAnsi="仿宋" w:hint="eastAsia"/>
          <w:sz w:val="28"/>
          <w:szCs w:val="28"/>
        </w:rPr>
        <w:t>，</w:t>
      </w:r>
      <w:r w:rsidR="001A1A90" w:rsidRPr="00AD24B5">
        <w:rPr>
          <w:rFonts w:ascii="仿宋_GB2312" w:eastAsia="仿宋_GB2312" w:hAnsi="仿宋" w:hint="eastAsia"/>
          <w:sz w:val="28"/>
          <w:szCs w:val="28"/>
        </w:rPr>
        <w:t>需要</w:t>
      </w:r>
      <w:r w:rsidR="003B1CBE" w:rsidRPr="00AD24B5">
        <w:rPr>
          <w:rFonts w:ascii="仿宋_GB2312" w:eastAsia="仿宋_GB2312" w:hAnsi="仿宋" w:hint="eastAsia"/>
          <w:sz w:val="28"/>
          <w:szCs w:val="28"/>
        </w:rPr>
        <w:t>开展</w:t>
      </w:r>
      <w:r w:rsidR="00373C45" w:rsidRPr="00AD24B5">
        <w:rPr>
          <w:rFonts w:ascii="仿宋_GB2312" w:eastAsia="仿宋_GB2312" w:hAnsi="仿宋" w:hint="eastAsia"/>
          <w:sz w:val="28"/>
          <w:szCs w:val="28"/>
        </w:rPr>
        <w:t>必要的</w:t>
      </w:r>
      <w:r w:rsidR="003B1CBE" w:rsidRPr="00AD24B5">
        <w:rPr>
          <w:rFonts w:ascii="仿宋_GB2312" w:eastAsia="仿宋_GB2312" w:hAnsi="仿宋" w:hint="eastAsia"/>
          <w:sz w:val="28"/>
          <w:szCs w:val="28"/>
        </w:rPr>
        <w:t>生物等效性或生物利用度比较试验</w:t>
      </w:r>
      <w:r w:rsidR="00373C45" w:rsidRPr="00AD24B5">
        <w:rPr>
          <w:rFonts w:ascii="仿宋_GB2312" w:eastAsia="仿宋_GB2312" w:hAnsi="仿宋" w:hint="eastAsia"/>
          <w:sz w:val="28"/>
          <w:szCs w:val="28"/>
        </w:rPr>
        <w:t>。对于</w:t>
      </w:r>
      <w:r w:rsidR="001A1A90" w:rsidRPr="00AD24B5">
        <w:rPr>
          <w:rFonts w:ascii="仿宋_GB2312" w:eastAsia="仿宋_GB2312" w:hAnsi="仿宋" w:hint="eastAsia"/>
          <w:sz w:val="28"/>
          <w:szCs w:val="28"/>
        </w:rPr>
        <w:t>采用</w:t>
      </w:r>
      <w:r w:rsidR="00373C45" w:rsidRPr="00AD24B5">
        <w:rPr>
          <w:rFonts w:ascii="仿宋_GB2312" w:eastAsia="仿宋_GB2312" w:hAnsi="仿宋" w:hint="eastAsia"/>
          <w:sz w:val="28"/>
          <w:szCs w:val="28"/>
        </w:rPr>
        <w:t>已确定的非处方药</w:t>
      </w:r>
      <w:r w:rsidR="001A1A90" w:rsidRPr="00AD24B5">
        <w:rPr>
          <w:rFonts w:ascii="仿宋_GB2312" w:eastAsia="仿宋_GB2312" w:hAnsi="仿宋" w:hint="eastAsia"/>
          <w:sz w:val="28"/>
          <w:szCs w:val="28"/>
        </w:rPr>
        <w:t>活性成份组成的新复方</w:t>
      </w:r>
      <w:r w:rsidR="003B1CBE" w:rsidRPr="00AD24B5">
        <w:rPr>
          <w:rFonts w:ascii="仿宋_GB2312" w:eastAsia="仿宋_GB2312" w:hAnsi="仿宋" w:hint="eastAsia"/>
          <w:sz w:val="28"/>
          <w:szCs w:val="28"/>
        </w:rPr>
        <w:t>，</w:t>
      </w:r>
      <w:r w:rsidR="001A1A90" w:rsidRPr="00AD24B5">
        <w:rPr>
          <w:rFonts w:ascii="仿宋_GB2312" w:eastAsia="仿宋_GB2312" w:hAnsi="仿宋" w:hint="eastAsia"/>
          <w:sz w:val="28"/>
          <w:szCs w:val="28"/>
        </w:rPr>
        <w:t>需要考虑开展</w:t>
      </w:r>
      <w:r w:rsidR="00373C45" w:rsidRPr="00AD24B5">
        <w:rPr>
          <w:rFonts w:ascii="仿宋_GB2312" w:eastAsia="仿宋_GB2312" w:hAnsi="仿宋" w:hint="eastAsia"/>
          <w:sz w:val="28"/>
          <w:szCs w:val="28"/>
        </w:rPr>
        <w:t>与单方合用</w:t>
      </w:r>
      <w:r w:rsidR="001A1A90" w:rsidRPr="00AD24B5">
        <w:rPr>
          <w:rFonts w:ascii="仿宋_GB2312" w:eastAsia="仿宋_GB2312" w:hAnsi="仿宋" w:hint="eastAsia"/>
          <w:sz w:val="28"/>
          <w:szCs w:val="28"/>
        </w:rPr>
        <w:t>对比</w:t>
      </w:r>
      <w:r w:rsidR="00373C45" w:rsidRPr="00AD24B5">
        <w:rPr>
          <w:rFonts w:ascii="仿宋_GB2312" w:eastAsia="仿宋_GB2312" w:hAnsi="仿宋" w:hint="eastAsia"/>
          <w:sz w:val="28"/>
          <w:szCs w:val="28"/>
        </w:rPr>
        <w:t>的生物等效性研究，以及必要的药物相互作用研究。</w:t>
      </w:r>
    </w:p>
    <w:p w14:paraId="45BA2F6A" w14:textId="5A5D29E7" w:rsidR="003B1CBE" w:rsidRPr="00AD24B5" w:rsidRDefault="001A1A90" w:rsidP="001A1A90">
      <w:pPr>
        <w:ind w:firstLineChars="200" w:firstLine="560"/>
        <w:rPr>
          <w:rFonts w:ascii="仿宋_GB2312" w:eastAsia="仿宋_GB2312" w:hAnsi="仿宋"/>
          <w:sz w:val="28"/>
          <w:szCs w:val="28"/>
        </w:rPr>
      </w:pPr>
      <w:r w:rsidRPr="00AD24B5">
        <w:rPr>
          <w:rFonts w:ascii="仿宋_GB2312" w:eastAsia="仿宋_GB2312" w:hAnsi="仿宋" w:hint="eastAsia"/>
          <w:sz w:val="28"/>
          <w:szCs w:val="28"/>
        </w:rPr>
        <w:t>申报</w:t>
      </w:r>
      <w:r w:rsidR="003B1CBE" w:rsidRPr="00AD24B5">
        <w:rPr>
          <w:rFonts w:ascii="仿宋_GB2312" w:eastAsia="仿宋_GB2312" w:hAnsi="仿宋" w:hint="eastAsia"/>
          <w:sz w:val="28"/>
          <w:szCs w:val="28"/>
        </w:rPr>
        <w:t>新</w:t>
      </w:r>
      <w:r w:rsidR="00373C45" w:rsidRPr="00AD24B5">
        <w:rPr>
          <w:rFonts w:ascii="仿宋_GB2312" w:eastAsia="仿宋_GB2312" w:hAnsi="仿宋" w:hint="eastAsia"/>
          <w:sz w:val="28"/>
          <w:szCs w:val="28"/>
        </w:rPr>
        <w:t>的非处方药</w:t>
      </w:r>
      <w:r w:rsidR="003B1CBE" w:rsidRPr="00AD24B5">
        <w:rPr>
          <w:rFonts w:ascii="仿宋_GB2312" w:eastAsia="仿宋_GB2312" w:hAnsi="仿宋" w:hint="eastAsia"/>
          <w:sz w:val="28"/>
          <w:szCs w:val="28"/>
        </w:rPr>
        <w:t>活性成分</w:t>
      </w:r>
      <w:r w:rsidRPr="00AD24B5">
        <w:rPr>
          <w:rFonts w:ascii="仿宋_GB2312" w:eastAsia="仿宋_GB2312" w:hAnsi="仿宋" w:hint="eastAsia"/>
          <w:sz w:val="28"/>
          <w:szCs w:val="28"/>
        </w:rPr>
        <w:t>、</w:t>
      </w:r>
      <w:r w:rsidR="00373C45" w:rsidRPr="00AD24B5">
        <w:rPr>
          <w:rFonts w:ascii="仿宋_GB2312" w:eastAsia="仿宋_GB2312" w:hAnsi="仿宋" w:hint="eastAsia"/>
          <w:sz w:val="28"/>
          <w:szCs w:val="28"/>
        </w:rPr>
        <w:t>改变</w:t>
      </w:r>
      <w:r w:rsidR="003B1CBE" w:rsidRPr="00AD24B5">
        <w:rPr>
          <w:rFonts w:ascii="仿宋_GB2312" w:eastAsia="仿宋_GB2312" w:hAnsi="仿宋" w:hint="eastAsia"/>
          <w:sz w:val="28"/>
          <w:szCs w:val="28"/>
        </w:rPr>
        <w:t>给药途径或新</w:t>
      </w:r>
      <w:r w:rsidR="00373C45" w:rsidRPr="00AD24B5">
        <w:rPr>
          <w:rFonts w:ascii="仿宋_GB2312" w:eastAsia="仿宋_GB2312" w:hAnsi="仿宋" w:hint="eastAsia"/>
          <w:sz w:val="28"/>
          <w:szCs w:val="28"/>
        </w:rPr>
        <w:t>增</w:t>
      </w:r>
      <w:r w:rsidR="003B1CBE" w:rsidRPr="00AD24B5">
        <w:rPr>
          <w:rFonts w:ascii="仿宋_GB2312" w:eastAsia="仿宋_GB2312" w:hAnsi="仿宋" w:hint="eastAsia"/>
          <w:sz w:val="28"/>
          <w:szCs w:val="28"/>
        </w:rPr>
        <w:t>适应症（</w:t>
      </w:r>
      <w:r w:rsidR="00373C45" w:rsidRPr="00AD24B5">
        <w:rPr>
          <w:rFonts w:ascii="仿宋_GB2312" w:eastAsia="仿宋_GB2312" w:hAnsi="仿宋" w:hint="eastAsia"/>
          <w:sz w:val="28"/>
          <w:szCs w:val="28"/>
        </w:rPr>
        <w:t>用药</w:t>
      </w:r>
      <w:r w:rsidR="003B1CBE" w:rsidRPr="00AD24B5">
        <w:rPr>
          <w:rFonts w:ascii="仿宋_GB2312" w:eastAsia="仿宋_GB2312" w:hAnsi="仿宋" w:hint="eastAsia"/>
          <w:sz w:val="28"/>
          <w:szCs w:val="28"/>
        </w:rPr>
        <w:t>人群）</w:t>
      </w:r>
      <w:r w:rsidR="00373C45" w:rsidRPr="00AD24B5">
        <w:rPr>
          <w:rFonts w:ascii="仿宋_GB2312" w:eastAsia="仿宋_GB2312" w:hAnsi="仿宋" w:hint="eastAsia"/>
          <w:sz w:val="28"/>
          <w:szCs w:val="28"/>
        </w:rPr>
        <w:t>的</w:t>
      </w:r>
      <w:r w:rsidRPr="00AD24B5">
        <w:rPr>
          <w:rFonts w:ascii="仿宋_GB2312" w:eastAsia="仿宋_GB2312" w:hAnsi="仿宋" w:hint="eastAsia"/>
          <w:sz w:val="28"/>
          <w:szCs w:val="28"/>
        </w:rPr>
        <w:t>非处方药</w:t>
      </w:r>
      <w:r w:rsidR="00373C45" w:rsidRPr="00AD24B5">
        <w:rPr>
          <w:rFonts w:ascii="仿宋_GB2312" w:eastAsia="仿宋_GB2312" w:hAnsi="仿宋" w:hint="eastAsia"/>
          <w:sz w:val="28"/>
          <w:szCs w:val="28"/>
        </w:rPr>
        <w:t>品种</w:t>
      </w:r>
      <w:r w:rsidRPr="00AD24B5">
        <w:rPr>
          <w:rFonts w:ascii="仿宋_GB2312" w:eastAsia="仿宋_GB2312" w:hAnsi="仿宋" w:hint="eastAsia"/>
          <w:sz w:val="28"/>
          <w:szCs w:val="28"/>
        </w:rPr>
        <w:t>，应开展必要的临床药理学研究，考察其人体药代动力学特征，为可能涉及的剂量或给药方式变化</w:t>
      </w:r>
      <w:r w:rsidR="003B1CBE" w:rsidRPr="00AD24B5">
        <w:rPr>
          <w:rFonts w:ascii="仿宋_GB2312" w:eastAsia="仿宋_GB2312" w:hAnsi="仿宋" w:hint="eastAsia"/>
          <w:sz w:val="28"/>
          <w:szCs w:val="28"/>
        </w:rPr>
        <w:t>提供</w:t>
      </w:r>
      <w:r w:rsidRPr="00AD24B5">
        <w:rPr>
          <w:rFonts w:ascii="仿宋_GB2312" w:eastAsia="仿宋_GB2312" w:hAnsi="仿宋" w:hint="eastAsia"/>
          <w:sz w:val="28"/>
          <w:szCs w:val="28"/>
        </w:rPr>
        <w:t>支持证据</w:t>
      </w:r>
      <w:r w:rsidR="003B1CBE" w:rsidRPr="00AD24B5">
        <w:rPr>
          <w:rFonts w:ascii="仿宋_GB2312" w:eastAsia="仿宋_GB2312" w:hAnsi="仿宋" w:hint="eastAsia"/>
          <w:sz w:val="28"/>
          <w:szCs w:val="28"/>
        </w:rPr>
        <w:t>。</w:t>
      </w:r>
    </w:p>
    <w:p w14:paraId="0E663CAD" w14:textId="322F558A" w:rsidR="000D6907" w:rsidRPr="00AD24B5" w:rsidRDefault="00240567" w:rsidP="00240567">
      <w:pPr>
        <w:pStyle w:val="2"/>
        <w:rPr>
          <w:rFonts w:ascii="仿宋_GB2312" w:eastAsia="仿宋_GB2312" w:hAnsi="宋体" w:cs="Times New Roman"/>
          <w:kern w:val="44"/>
          <w:sz w:val="28"/>
          <w:szCs w:val="44"/>
        </w:rPr>
      </w:pPr>
      <w:bookmarkStart w:id="6" w:name="_Toc44317887"/>
      <w:r w:rsidRPr="00AD24B5">
        <w:rPr>
          <w:rFonts w:ascii="仿宋_GB2312" w:eastAsia="仿宋_GB2312" w:hAnsi="宋体" w:cs="Times New Roman" w:hint="eastAsia"/>
          <w:kern w:val="44"/>
          <w:sz w:val="28"/>
          <w:szCs w:val="44"/>
        </w:rPr>
        <w:t>（四）</w:t>
      </w:r>
      <w:r w:rsidR="000D6907" w:rsidRPr="00AD24B5">
        <w:rPr>
          <w:rFonts w:ascii="仿宋_GB2312" w:eastAsia="仿宋_GB2312" w:hAnsi="宋体" w:cs="Times New Roman" w:hint="eastAsia"/>
          <w:kern w:val="44"/>
          <w:sz w:val="28"/>
          <w:szCs w:val="44"/>
        </w:rPr>
        <w:t>临床</w:t>
      </w:r>
      <w:r w:rsidR="00ED5069" w:rsidRPr="00AD24B5">
        <w:rPr>
          <w:rFonts w:ascii="仿宋_GB2312" w:eastAsia="仿宋_GB2312" w:hAnsi="宋体" w:cs="Times New Roman" w:hint="eastAsia"/>
          <w:kern w:val="44"/>
          <w:sz w:val="28"/>
          <w:szCs w:val="44"/>
        </w:rPr>
        <w:t>研究</w:t>
      </w:r>
      <w:bookmarkEnd w:id="6"/>
    </w:p>
    <w:p w14:paraId="2EE1531D" w14:textId="7B0CEC1A" w:rsidR="00BB21A7" w:rsidRPr="00AD24B5" w:rsidRDefault="004B4F61" w:rsidP="0096095F">
      <w:pPr>
        <w:ind w:firstLineChars="200" w:firstLine="560"/>
        <w:rPr>
          <w:rFonts w:ascii="仿宋_GB2312" w:eastAsia="仿宋_GB2312" w:hAnsi="仿宋"/>
          <w:sz w:val="28"/>
          <w:szCs w:val="28"/>
        </w:rPr>
      </w:pPr>
      <w:r w:rsidRPr="00AD24B5">
        <w:rPr>
          <w:rFonts w:ascii="仿宋_GB2312" w:eastAsia="仿宋_GB2312" w:hAnsi="仿宋" w:hint="eastAsia"/>
          <w:sz w:val="28"/>
          <w:szCs w:val="28"/>
        </w:rPr>
        <w:t>对于已有较充分证据支持非处方药途径使用的</w:t>
      </w:r>
      <w:r w:rsidR="00BB21A7" w:rsidRPr="00AD24B5">
        <w:rPr>
          <w:rFonts w:ascii="仿宋_GB2312" w:eastAsia="仿宋_GB2312" w:hAnsi="仿宋" w:hint="eastAsia"/>
          <w:sz w:val="28"/>
          <w:szCs w:val="28"/>
        </w:rPr>
        <w:t>安全性和有效性</w:t>
      </w:r>
      <w:r w:rsidRPr="00AD24B5">
        <w:rPr>
          <w:rFonts w:ascii="仿宋_GB2312" w:eastAsia="仿宋_GB2312" w:hAnsi="仿宋" w:hint="eastAsia"/>
          <w:sz w:val="28"/>
          <w:szCs w:val="28"/>
        </w:rPr>
        <w:t>的品种</w:t>
      </w:r>
      <w:r w:rsidR="00B02FE6" w:rsidRPr="00AD24B5">
        <w:rPr>
          <w:rFonts w:ascii="仿宋_GB2312" w:eastAsia="仿宋_GB2312" w:hAnsi="仿宋" w:hint="eastAsia"/>
          <w:sz w:val="28"/>
          <w:szCs w:val="28"/>
        </w:rPr>
        <w:t>，</w:t>
      </w:r>
      <w:r w:rsidR="00AB3C27" w:rsidRPr="00AD24B5">
        <w:rPr>
          <w:rFonts w:ascii="仿宋_GB2312" w:eastAsia="仿宋_GB2312" w:hAnsi="仿宋" w:hint="eastAsia"/>
          <w:sz w:val="28"/>
          <w:szCs w:val="28"/>
        </w:rPr>
        <w:t>应</w:t>
      </w:r>
      <w:r w:rsidRPr="00AD24B5">
        <w:rPr>
          <w:rFonts w:ascii="仿宋_GB2312" w:eastAsia="仿宋_GB2312" w:hAnsi="仿宋" w:hint="eastAsia"/>
          <w:sz w:val="28"/>
          <w:szCs w:val="28"/>
        </w:rPr>
        <w:t>尽可能利用已获得的</w:t>
      </w:r>
      <w:r w:rsidR="00B02FE6" w:rsidRPr="00AD24B5">
        <w:rPr>
          <w:rFonts w:ascii="仿宋_GB2312" w:eastAsia="仿宋_GB2312" w:hAnsi="仿宋" w:hint="eastAsia"/>
          <w:sz w:val="28"/>
          <w:szCs w:val="28"/>
        </w:rPr>
        <w:t>数据</w:t>
      </w:r>
      <w:r w:rsidRPr="00AD24B5">
        <w:rPr>
          <w:rFonts w:ascii="仿宋_GB2312" w:eastAsia="仿宋_GB2312" w:hAnsi="仿宋" w:hint="eastAsia"/>
          <w:sz w:val="28"/>
          <w:szCs w:val="28"/>
        </w:rPr>
        <w:t>支持注册，</w:t>
      </w:r>
      <w:r w:rsidR="00381D51" w:rsidRPr="00AD24B5">
        <w:rPr>
          <w:rFonts w:ascii="仿宋_GB2312" w:eastAsia="仿宋_GB2312" w:hAnsi="仿宋" w:hint="eastAsia"/>
          <w:sz w:val="28"/>
          <w:szCs w:val="28"/>
        </w:rPr>
        <w:t>避免不必要的临床研究及</w:t>
      </w:r>
      <w:r w:rsidRPr="00AD24B5">
        <w:rPr>
          <w:rFonts w:ascii="仿宋_GB2312" w:eastAsia="仿宋_GB2312" w:hAnsi="仿宋" w:hint="eastAsia"/>
          <w:sz w:val="28"/>
          <w:szCs w:val="28"/>
        </w:rPr>
        <w:t>简化必要的临床研究</w:t>
      </w:r>
      <w:r w:rsidR="00BB21A7" w:rsidRPr="00AD24B5">
        <w:rPr>
          <w:rFonts w:ascii="仿宋_GB2312" w:eastAsia="仿宋_GB2312" w:hAnsi="仿宋" w:hint="eastAsia"/>
          <w:sz w:val="28"/>
          <w:szCs w:val="28"/>
        </w:rPr>
        <w:t>。</w:t>
      </w:r>
    </w:p>
    <w:p w14:paraId="16FE1389" w14:textId="39CA90A4" w:rsidR="004B4F61" w:rsidRPr="00AD24B5" w:rsidRDefault="004B4F61" w:rsidP="004B4F61">
      <w:pPr>
        <w:ind w:firstLineChars="200" w:firstLine="560"/>
        <w:rPr>
          <w:rFonts w:ascii="仿宋_GB2312" w:eastAsia="仿宋_GB2312" w:hAnsi="仿宋"/>
          <w:sz w:val="28"/>
          <w:szCs w:val="28"/>
        </w:rPr>
      </w:pPr>
      <w:r w:rsidRPr="00AD24B5">
        <w:rPr>
          <w:rFonts w:ascii="仿宋_GB2312" w:eastAsia="仿宋_GB2312" w:hAnsi="仿宋" w:hint="eastAsia"/>
          <w:color w:val="000000" w:themeColor="text1"/>
          <w:sz w:val="28"/>
          <w:szCs w:val="28"/>
        </w:rPr>
        <w:t>对于已在境外上市的非处方药，需结合</w:t>
      </w:r>
      <w:r w:rsidR="002A1EC4" w:rsidRPr="00AD24B5">
        <w:rPr>
          <w:rFonts w:ascii="仿宋_GB2312" w:eastAsia="仿宋_GB2312" w:hAnsi="仿宋" w:hint="eastAsia"/>
          <w:color w:val="000000" w:themeColor="text1"/>
          <w:sz w:val="28"/>
          <w:szCs w:val="28"/>
        </w:rPr>
        <w:t>其上市批准时间、上市前研究基础、上市后应用情况，综合考虑临床</w:t>
      </w:r>
      <w:r w:rsidRPr="00AD24B5">
        <w:rPr>
          <w:rFonts w:ascii="仿宋_GB2312" w:eastAsia="仿宋_GB2312" w:hAnsi="仿宋" w:hint="eastAsia"/>
          <w:color w:val="000000" w:themeColor="text1"/>
          <w:sz w:val="28"/>
          <w:szCs w:val="28"/>
        </w:rPr>
        <w:t>价值</w:t>
      </w:r>
      <w:r w:rsidR="002A1EC4" w:rsidRPr="00AD24B5">
        <w:rPr>
          <w:rFonts w:ascii="仿宋_GB2312" w:eastAsia="仿宋_GB2312" w:hAnsi="仿宋" w:hint="eastAsia"/>
          <w:color w:val="000000" w:themeColor="text1"/>
          <w:sz w:val="28"/>
          <w:szCs w:val="28"/>
        </w:rPr>
        <w:t>（临床需求）</w:t>
      </w:r>
      <w:r w:rsidRPr="00AD24B5">
        <w:rPr>
          <w:rFonts w:ascii="仿宋_GB2312" w:eastAsia="仿宋_GB2312" w:hAnsi="仿宋" w:hint="eastAsia"/>
          <w:color w:val="000000" w:themeColor="text1"/>
          <w:sz w:val="28"/>
          <w:szCs w:val="28"/>
        </w:rPr>
        <w:t>及我国上市注册研究要求</w:t>
      </w:r>
      <w:r w:rsidRPr="00AD24B5">
        <w:rPr>
          <w:rFonts w:ascii="仿宋_GB2312" w:eastAsia="仿宋_GB2312" w:hAnsi="仿宋" w:hint="eastAsia"/>
          <w:sz w:val="28"/>
          <w:szCs w:val="28"/>
        </w:rPr>
        <w:t>。</w:t>
      </w:r>
      <w:r w:rsidRPr="00AD24B5">
        <w:rPr>
          <w:rFonts w:ascii="仿宋_GB2312" w:eastAsia="仿宋_GB2312" w:hAnsi="仿宋" w:hint="eastAsia"/>
          <w:color w:val="000000" w:themeColor="text1"/>
          <w:sz w:val="28"/>
          <w:szCs w:val="28"/>
        </w:rPr>
        <w:t>对于境外上市基础较好的非处方药，可以参考《接受药品境外临床试验数据的技术指导原则》，符合要求的品种，可以豁免临床研究，或仅开展疗效验证性研究。</w:t>
      </w:r>
    </w:p>
    <w:p w14:paraId="639817CD" w14:textId="3115E5FD" w:rsidR="004B4F61" w:rsidRPr="00AD24B5" w:rsidRDefault="004B4F61" w:rsidP="004B4F61">
      <w:pPr>
        <w:ind w:firstLineChars="200" w:firstLine="560"/>
        <w:rPr>
          <w:rFonts w:ascii="仿宋_GB2312" w:eastAsia="仿宋_GB2312" w:hAnsi="仿宋"/>
          <w:sz w:val="28"/>
          <w:szCs w:val="28"/>
        </w:rPr>
      </w:pPr>
      <w:r w:rsidRPr="00AD24B5">
        <w:rPr>
          <w:rFonts w:ascii="仿宋_GB2312" w:eastAsia="仿宋_GB2312" w:hAnsi="仿宋" w:hint="eastAsia"/>
          <w:sz w:val="28"/>
          <w:szCs w:val="28"/>
        </w:rPr>
        <w:t>对于</w:t>
      </w:r>
      <w:r w:rsidR="008D5803" w:rsidRPr="00AD24B5">
        <w:rPr>
          <w:rFonts w:ascii="仿宋_GB2312" w:eastAsia="仿宋_GB2312" w:hAnsi="仿宋" w:hint="eastAsia"/>
          <w:sz w:val="28"/>
          <w:szCs w:val="28"/>
        </w:rPr>
        <w:t>改剂型或改规格的非处方药品种，以及采用已确定的非处方药活性成份组成的新复方</w:t>
      </w:r>
      <w:r w:rsidRPr="00AD24B5">
        <w:rPr>
          <w:rFonts w:ascii="仿宋_GB2312" w:eastAsia="仿宋_GB2312" w:hAnsi="仿宋" w:hint="eastAsia"/>
          <w:sz w:val="28"/>
          <w:szCs w:val="28"/>
        </w:rPr>
        <w:t>，在临床价值（临床需求）明确</w:t>
      </w:r>
      <w:r w:rsidR="00927CB2" w:rsidRPr="00AD24B5">
        <w:rPr>
          <w:rFonts w:ascii="仿宋_GB2312" w:eastAsia="仿宋_GB2312" w:hAnsi="仿宋" w:hint="eastAsia"/>
          <w:sz w:val="28"/>
          <w:szCs w:val="28"/>
        </w:rPr>
        <w:t>且不增加安全性风险</w:t>
      </w:r>
      <w:r w:rsidRPr="00AD24B5">
        <w:rPr>
          <w:rFonts w:ascii="仿宋_GB2312" w:eastAsia="仿宋_GB2312" w:hAnsi="仿宋" w:hint="eastAsia"/>
          <w:sz w:val="28"/>
          <w:szCs w:val="28"/>
        </w:rPr>
        <w:t>的前提下，无需证明临床优势。</w:t>
      </w:r>
    </w:p>
    <w:p w14:paraId="435AB14F" w14:textId="0694B0F7" w:rsidR="0096095F" w:rsidRPr="00AD24B5" w:rsidRDefault="004B4F61" w:rsidP="004B4F61">
      <w:pPr>
        <w:ind w:firstLineChars="200" w:firstLine="560"/>
        <w:rPr>
          <w:rFonts w:ascii="仿宋_GB2312" w:eastAsia="仿宋_GB2312" w:hAnsi="仿宋"/>
          <w:sz w:val="28"/>
          <w:szCs w:val="28"/>
        </w:rPr>
      </w:pPr>
      <w:r w:rsidRPr="00AD24B5">
        <w:rPr>
          <w:rFonts w:ascii="仿宋_GB2312" w:eastAsia="仿宋_GB2312" w:hAnsi="仿宋" w:hint="eastAsia"/>
          <w:sz w:val="28"/>
          <w:szCs w:val="28"/>
        </w:rPr>
        <w:lastRenderedPageBreak/>
        <w:t>仅改变口味、颜色、气味、清凉度、稠度、硬度、包装规格等，且变更事项不影响药品质量和疗效特征的非处方药仿制品种</w:t>
      </w:r>
      <w:r w:rsidR="006A18AC" w:rsidRPr="00AD24B5">
        <w:rPr>
          <w:rFonts w:ascii="仿宋_GB2312" w:eastAsia="仿宋_GB2312" w:hAnsi="仿宋" w:hint="eastAsia"/>
          <w:sz w:val="28"/>
          <w:szCs w:val="28"/>
        </w:rPr>
        <w:t>，</w:t>
      </w:r>
      <w:r w:rsidR="00023950" w:rsidRPr="00AD24B5">
        <w:rPr>
          <w:rFonts w:ascii="仿宋_GB2312" w:eastAsia="仿宋_GB2312" w:hAnsi="仿宋" w:hint="eastAsia"/>
          <w:sz w:val="28"/>
          <w:szCs w:val="28"/>
        </w:rPr>
        <w:t>除</w:t>
      </w:r>
      <w:r w:rsidRPr="00AD24B5">
        <w:rPr>
          <w:rFonts w:ascii="仿宋_GB2312" w:eastAsia="仿宋_GB2312" w:hAnsi="仿宋" w:hint="eastAsia"/>
          <w:sz w:val="28"/>
          <w:szCs w:val="28"/>
        </w:rPr>
        <w:t>开展仿制所必须的研究之外，无需进行额外临床研究</w:t>
      </w:r>
      <w:r w:rsidR="006A18AC" w:rsidRPr="00AD24B5">
        <w:rPr>
          <w:rFonts w:ascii="仿宋_GB2312" w:eastAsia="仿宋_GB2312" w:hAnsi="仿宋" w:hint="eastAsia"/>
          <w:sz w:val="28"/>
          <w:szCs w:val="28"/>
        </w:rPr>
        <w:t>。</w:t>
      </w:r>
    </w:p>
    <w:p w14:paraId="15B549DF" w14:textId="7AE87CD9" w:rsidR="00257A35" w:rsidRPr="00AD24B5" w:rsidRDefault="00257A35" w:rsidP="0096095F">
      <w:pPr>
        <w:ind w:firstLineChars="200" w:firstLine="560"/>
        <w:rPr>
          <w:rFonts w:ascii="仿宋_GB2312" w:eastAsia="仿宋_GB2312" w:hAnsi="仿宋"/>
          <w:color w:val="000000" w:themeColor="text1"/>
          <w:sz w:val="28"/>
          <w:szCs w:val="28"/>
        </w:rPr>
      </w:pPr>
      <w:r w:rsidRPr="00AD24B5">
        <w:rPr>
          <w:rFonts w:ascii="仿宋_GB2312" w:eastAsia="仿宋_GB2312" w:hAnsi="仿宋" w:hint="eastAsia"/>
          <w:color w:val="000000" w:themeColor="text1"/>
          <w:sz w:val="28"/>
          <w:szCs w:val="28"/>
        </w:rPr>
        <w:t>对于一些在</w:t>
      </w:r>
      <w:r w:rsidR="006576DE" w:rsidRPr="00AD24B5">
        <w:rPr>
          <w:rFonts w:ascii="仿宋_GB2312" w:eastAsia="仿宋_GB2312" w:hAnsi="仿宋" w:hint="eastAsia"/>
          <w:color w:val="000000" w:themeColor="text1"/>
          <w:sz w:val="28"/>
          <w:szCs w:val="28"/>
        </w:rPr>
        <w:t>剂型、</w:t>
      </w:r>
      <w:r w:rsidRPr="00AD24B5">
        <w:rPr>
          <w:rFonts w:ascii="仿宋_GB2312" w:eastAsia="仿宋_GB2312" w:hAnsi="仿宋" w:hint="eastAsia"/>
          <w:color w:val="000000" w:themeColor="text1"/>
          <w:sz w:val="28"/>
          <w:szCs w:val="28"/>
        </w:rPr>
        <w:t>给药装置、给药</w:t>
      </w:r>
      <w:r w:rsidR="006576DE" w:rsidRPr="00AD24B5">
        <w:rPr>
          <w:rFonts w:ascii="仿宋_GB2312" w:eastAsia="仿宋_GB2312" w:hAnsi="仿宋" w:hint="eastAsia"/>
          <w:color w:val="000000" w:themeColor="text1"/>
          <w:sz w:val="28"/>
          <w:szCs w:val="28"/>
        </w:rPr>
        <w:t>操作</w:t>
      </w:r>
      <w:r w:rsidRPr="00AD24B5">
        <w:rPr>
          <w:rFonts w:ascii="仿宋_GB2312" w:eastAsia="仿宋_GB2312" w:hAnsi="仿宋" w:hint="eastAsia"/>
          <w:color w:val="000000" w:themeColor="text1"/>
          <w:sz w:val="28"/>
          <w:szCs w:val="28"/>
        </w:rPr>
        <w:t>方法等方面具有特殊性的</w:t>
      </w:r>
      <w:r w:rsidR="006576DE" w:rsidRPr="00AD24B5">
        <w:rPr>
          <w:rFonts w:ascii="仿宋_GB2312" w:eastAsia="仿宋_GB2312" w:hAnsi="仿宋" w:hint="eastAsia"/>
          <w:color w:val="000000" w:themeColor="text1"/>
          <w:sz w:val="28"/>
          <w:szCs w:val="28"/>
        </w:rPr>
        <w:t>非处方药</w:t>
      </w:r>
      <w:r w:rsidRPr="00AD24B5">
        <w:rPr>
          <w:rFonts w:ascii="仿宋_GB2312" w:eastAsia="仿宋_GB2312" w:hAnsi="仿宋" w:hint="eastAsia"/>
          <w:color w:val="000000" w:themeColor="text1"/>
          <w:sz w:val="28"/>
          <w:szCs w:val="28"/>
        </w:rPr>
        <w:t>品种，应</w:t>
      </w:r>
      <w:r w:rsidR="0096095F" w:rsidRPr="00AD24B5">
        <w:rPr>
          <w:rFonts w:ascii="仿宋_GB2312" w:eastAsia="仿宋_GB2312" w:hAnsi="仿宋" w:hint="eastAsia"/>
          <w:color w:val="000000" w:themeColor="text1"/>
          <w:sz w:val="28"/>
          <w:szCs w:val="28"/>
        </w:rPr>
        <w:t>额外</w:t>
      </w:r>
      <w:r w:rsidRPr="00AD24B5">
        <w:rPr>
          <w:rFonts w:ascii="仿宋_GB2312" w:eastAsia="仿宋_GB2312" w:hAnsi="仿宋" w:hint="eastAsia"/>
          <w:color w:val="000000" w:themeColor="text1"/>
          <w:sz w:val="28"/>
          <w:szCs w:val="28"/>
        </w:rPr>
        <w:t>提供其是否符合我国人群用药习惯及便利性的相关</w:t>
      </w:r>
      <w:r w:rsidR="006576DE" w:rsidRPr="00AD24B5">
        <w:rPr>
          <w:rFonts w:ascii="仿宋_GB2312" w:eastAsia="仿宋_GB2312" w:hAnsi="仿宋" w:hint="eastAsia"/>
          <w:color w:val="000000" w:themeColor="text1"/>
          <w:sz w:val="28"/>
          <w:szCs w:val="28"/>
        </w:rPr>
        <w:t>依据</w:t>
      </w:r>
      <w:r w:rsidRPr="00AD24B5">
        <w:rPr>
          <w:rFonts w:ascii="仿宋_GB2312" w:eastAsia="仿宋_GB2312" w:hAnsi="仿宋" w:hint="eastAsia"/>
          <w:color w:val="000000" w:themeColor="text1"/>
          <w:sz w:val="28"/>
          <w:szCs w:val="28"/>
        </w:rPr>
        <w:t>。</w:t>
      </w:r>
    </w:p>
    <w:p w14:paraId="6A607284" w14:textId="7708AE6E" w:rsidR="00150D93" w:rsidRPr="00AD24B5" w:rsidRDefault="00DC37DE" w:rsidP="00150D93">
      <w:pPr>
        <w:pStyle w:val="1"/>
        <w:rPr>
          <w:rFonts w:ascii="仿宋_GB2312" w:eastAsia="仿宋_GB2312"/>
          <w:sz w:val="28"/>
        </w:rPr>
      </w:pPr>
      <w:bookmarkStart w:id="7" w:name="_Toc44317888"/>
      <w:r w:rsidRPr="00AD24B5">
        <w:rPr>
          <w:rFonts w:ascii="仿宋_GB2312" w:eastAsia="仿宋_GB2312" w:hint="eastAsia"/>
          <w:sz w:val="28"/>
        </w:rPr>
        <w:t>附</w:t>
      </w:r>
      <w:r w:rsidR="007B1EE0" w:rsidRPr="00AD24B5">
        <w:rPr>
          <w:rFonts w:ascii="仿宋_GB2312" w:eastAsia="仿宋_GB2312" w:hint="eastAsia"/>
          <w:sz w:val="28"/>
        </w:rPr>
        <w:t>表</w:t>
      </w:r>
      <w:r w:rsidR="00F826AB" w:rsidRPr="00AD24B5">
        <w:rPr>
          <w:rFonts w:ascii="仿宋_GB2312" w:eastAsia="仿宋_GB2312" w:hint="eastAsia"/>
          <w:sz w:val="28"/>
        </w:rPr>
        <w:t>：</w:t>
      </w:r>
      <w:bookmarkEnd w:id="7"/>
    </w:p>
    <w:tbl>
      <w:tblPr>
        <w:tblStyle w:val="af4"/>
        <w:tblW w:w="10632" w:type="dxa"/>
        <w:jc w:val="center"/>
        <w:tblLook w:val="04A0" w:firstRow="1" w:lastRow="0" w:firstColumn="1" w:lastColumn="0" w:noHBand="0" w:noVBand="1"/>
      </w:tblPr>
      <w:tblGrid>
        <w:gridCol w:w="1384"/>
        <w:gridCol w:w="1026"/>
        <w:gridCol w:w="78"/>
        <w:gridCol w:w="773"/>
        <w:gridCol w:w="1633"/>
        <w:gridCol w:w="1364"/>
        <w:gridCol w:w="1499"/>
        <w:gridCol w:w="1504"/>
        <w:gridCol w:w="1371"/>
      </w:tblGrid>
      <w:tr w:rsidR="007C79EC" w:rsidRPr="00AD24B5" w14:paraId="2E854079" w14:textId="77777777" w:rsidTr="00C95643">
        <w:trPr>
          <w:jc w:val="center"/>
        </w:trPr>
        <w:tc>
          <w:tcPr>
            <w:tcW w:w="1384" w:type="dxa"/>
            <w:vMerge w:val="restart"/>
            <w:vAlign w:val="center"/>
          </w:tcPr>
          <w:p w14:paraId="095F4918" w14:textId="77777777" w:rsidR="007C79EC" w:rsidRPr="00AD24B5" w:rsidRDefault="007C79EC" w:rsidP="004B287E">
            <w:pPr>
              <w:spacing w:line="240" w:lineRule="auto"/>
              <w:jc w:val="center"/>
              <w:rPr>
                <w:rFonts w:ascii="仿宋_GB2312" w:eastAsia="仿宋_GB2312" w:hAnsi="黑体"/>
                <w:b/>
                <w:sz w:val="18"/>
                <w:szCs w:val="18"/>
              </w:rPr>
            </w:pPr>
            <w:r w:rsidRPr="00AD24B5">
              <w:rPr>
                <w:rFonts w:ascii="仿宋_GB2312" w:eastAsia="仿宋_GB2312" w:hAnsi="黑体" w:hint="eastAsia"/>
                <w:b/>
                <w:sz w:val="18"/>
                <w:szCs w:val="18"/>
              </w:rPr>
              <w:t>申报类别</w:t>
            </w:r>
          </w:p>
        </w:tc>
        <w:tc>
          <w:tcPr>
            <w:tcW w:w="3510" w:type="dxa"/>
            <w:gridSpan w:val="4"/>
            <w:vMerge w:val="restart"/>
            <w:vAlign w:val="center"/>
          </w:tcPr>
          <w:p w14:paraId="2783C80E" w14:textId="77777777" w:rsidR="007C79EC" w:rsidRPr="00AD24B5" w:rsidRDefault="007C79EC" w:rsidP="004B287E">
            <w:pPr>
              <w:spacing w:line="240" w:lineRule="auto"/>
              <w:jc w:val="center"/>
              <w:rPr>
                <w:rFonts w:ascii="仿宋_GB2312" w:eastAsia="仿宋_GB2312" w:hAnsi="黑体"/>
                <w:b/>
                <w:sz w:val="18"/>
                <w:szCs w:val="18"/>
              </w:rPr>
            </w:pPr>
            <w:r w:rsidRPr="00AD24B5">
              <w:rPr>
                <w:rFonts w:ascii="仿宋_GB2312" w:eastAsia="仿宋_GB2312" w:hAnsi="黑体" w:hint="eastAsia"/>
                <w:b/>
                <w:sz w:val="18"/>
                <w:szCs w:val="18"/>
              </w:rPr>
              <w:t>情形描述</w:t>
            </w:r>
          </w:p>
        </w:tc>
        <w:tc>
          <w:tcPr>
            <w:tcW w:w="5738" w:type="dxa"/>
            <w:gridSpan w:val="4"/>
            <w:vAlign w:val="center"/>
          </w:tcPr>
          <w:p w14:paraId="059E8C9E" w14:textId="77777777" w:rsidR="007C79EC" w:rsidRPr="00AD24B5" w:rsidRDefault="007C79EC" w:rsidP="004B287E">
            <w:pPr>
              <w:spacing w:line="240" w:lineRule="auto"/>
              <w:jc w:val="center"/>
              <w:rPr>
                <w:rFonts w:ascii="仿宋_GB2312" w:eastAsia="仿宋_GB2312" w:hAnsi="黑体"/>
                <w:b/>
                <w:sz w:val="18"/>
                <w:szCs w:val="18"/>
              </w:rPr>
            </w:pPr>
            <w:r w:rsidRPr="00AD24B5">
              <w:rPr>
                <w:rFonts w:ascii="仿宋_GB2312" w:eastAsia="仿宋_GB2312" w:hAnsi="黑体" w:hint="eastAsia"/>
                <w:b/>
                <w:sz w:val="18"/>
                <w:szCs w:val="18"/>
              </w:rPr>
              <w:t>研究要求</w:t>
            </w:r>
          </w:p>
        </w:tc>
      </w:tr>
      <w:tr w:rsidR="007C79EC" w:rsidRPr="00AD24B5" w14:paraId="2B97C398" w14:textId="77777777" w:rsidTr="00C95643">
        <w:trPr>
          <w:jc w:val="center"/>
        </w:trPr>
        <w:tc>
          <w:tcPr>
            <w:tcW w:w="1384" w:type="dxa"/>
            <w:vMerge/>
            <w:vAlign w:val="center"/>
          </w:tcPr>
          <w:p w14:paraId="490728D7" w14:textId="77777777" w:rsidR="007C79EC" w:rsidRPr="00AD24B5" w:rsidRDefault="007C79EC" w:rsidP="004B287E">
            <w:pPr>
              <w:spacing w:line="240" w:lineRule="auto"/>
              <w:jc w:val="center"/>
              <w:rPr>
                <w:rFonts w:ascii="仿宋_GB2312" w:eastAsia="仿宋_GB2312" w:hAnsi="黑体"/>
                <w:b/>
                <w:sz w:val="18"/>
                <w:szCs w:val="18"/>
              </w:rPr>
            </w:pPr>
          </w:p>
        </w:tc>
        <w:tc>
          <w:tcPr>
            <w:tcW w:w="3510" w:type="dxa"/>
            <w:gridSpan w:val="4"/>
            <w:vMerge/>
            <w:vAlign w:val="center"/>
          </w:tcPr>
          <w:p w14:paraId="32B69380" w14:textId="77777777" w:rsidR="007C79EC" w:rsidRPr="00AD24B5" w:rsidRDefault="007C79EC" w:rsidP="004B287E">
            <w:pPr>
              <w:spacing w:line="240" w:lineRule="auto"/>
              <w:jc w:val="center"/>
              <w:rPr>
                <w:rFonts w:ascii="仿宋_GB2312" w:eastAsia="仿宋_GB2312" w:hAnsi="黑体"/>
                <w:b/>
                <w:sz w:val="18"/>
                <w:szCs w:val="18"/>
              </w:rPr>
            </w:pPr>
          </w:p>
        </w:tc>
        <w:tc>
          <w:tcPr>
            <w:tcW w:w="1364" w:type="dxa"/>
            <w:vAlign w:val="center"/>
          </w:tcPr>
          <w:p w14:paraId="214575B6" w14:textId="77777777" w:rsidR="007C79EC" w:rsidRPr="00AD24B5" w:rsidRDefault="007C79EC" w:rsidP="004B287E">
            <w:pPr>
              <w:spacing w:line="240" w:lineRule="auto"/>
              <w:jc w:val="center"/>
              <w:rPr>
                <w:rFonts w:ascii="仿宋_GB2312" w:eastAsia="仿宋_GB2312" w:hAnsi="黑体"/>
                <w:b/>
                <w:sz w:val="18"/>
                <w:szCs w:val="18"/>
              </w:rPr>
            </w:pPr>
            <w:r w:rsidRPr="00AD24B5">
              <w:rPr>
                <w:rFonts w:ascii="仿宋_GB2312" w:eastAsia="仿宋_GB2312" w:hAnsi="黑体" w:hint="eastAsia"/>
                <w:b/>
                <w:sz w:val="18"/>
                <w:szCs w:val="18"/>
              </w:rPr>
              <w:t>药学研究</w:t>
            </w:r>
          </w:p>
        </w:tc>
        <w:tc>
          <w:tcPr>
            <w:tcW w:w="1499" w:type="dxa"/>
            <w:vAlign w:val="center"/>
          </w:tcPr>
          <w:p w14:paraId="00C1834A" w14:textId="77777777" w:rsidR="007C79EC" w:rsidRPr="00AD24B5" w:rsidRDefault="007C79EC" w:rsidP="004B287E">
            <w:pPr>
              <w:spacing w:line="240" w:lineRule="auto"/>
              <w:jc w:val="center"/>
              <w:rPr>
                <w:rFonts w:ascii="仿宋_GB2312" w:eastAsia="仿宋_GB2312" w:hAnsi="黑体"/>
                <w:b/>
                <w:sz w:val="18"/>
                <w:szCs w:val="18"/>
              </w:rPr>
            </w:pPr>
            <w:r w:rsidRPr="00AD24B5">
              <w:rPr>
                <w:rFonts w:ascii="仿宋_GB2312" w:eastAsia="仿宋_GB2312" w:hAnsi="黑体" w:hint="eastAsia"/>
                <w:b/>
                <w:sz w:val="18"/>
                <w:szCs w:val="18"/>
              </w:rPr>
              <w:t>药理毒理学研究</w:t>
            </w:r>
          </w:p>
        </w:tc>
        <w:tc>
          <w:tcPr>
            <w:tcW w:w="1504" w:type="dxa"/>
            <w:vAlign w:val="center"/>
          </w:tcPr>
          <w:p w14:paraId="1AD65BE4" w14:textId="77777777" w:rsidR="007C79EC" w:rsidRPr="00AD24B5" w:rsidRDefault="007C79EC" w:rsidP="004B287E">
            <w:pPr>
              <w:spacing w:line="240" w:lineRule="auto"/>
              <w:jc w:val="center"/>
              <w:rPr>
                <w:rFonts w:ascii="仿宋_GB2312" w:eastAsia="仿宋_GB2312" w:hAnsi="黑体"/>
                <w:b/>
                <w:sz w:val="18"/>
                <w:szCs w:val="18"/>
              </w:rPr>
            </w:pPr>
            <w:r w:rsidRPr="00AD24B5">
              <w:rPr>
                <w:rFonts w:ascii="仿宋_GB2312" w:eastAsia="仿宋_GB2312" w:hAnsi="黑体" w:hint="eastAsia"/>
                <w:b/>
                <w:sz w:val="18"/>
                <w:szCs w:val="18"/>
              </w:rPr>
              <w:t>临床药理学研究</w:t>
            </w:r>
          </w:p>
        </w:tc>
        <w:tc>
          <w:tcPr>
            <w:tcW w:w="1371" w:type="dxa"/>
            <w:vAlign w:val="center"/>
          </w:tcPr>
          <w:p w14:paraId="2C90018A" w14:textId="77777777" w:rsidR="007C79EC" w:rsidRPr="00AD24B5" w:rsidRDefault="007C79EC" w:rsidP="004B287E">
            <w:pPr>
              <w:spacing w:line="240" w:lineRule="auto"/>
              <w:jc w:val="center"/>
              <w:rPr>
                <w:rFonts w:ascii="仿宋_GB2312" w:eastAsia="仿宋_GB2312" w:hAnsi="黑体"/>
                <w:b/>
                <w:sz w:val="18"/>
                <w:szCs w:val="18"/>
              </w:rPr>
            </w:pPr>
            <w:r w:rsidRPr="00AD24B5">
              <w:rPr>
                <w:rFonts w:ascii="仿宋_GB2312" w:eastAsia="仿宋_GB2312" w:hAnsi="黑体" w:hint="eastAsia"/>
                <w:b/>
                <w:sz w:val="18"/>
                <w:szCs w:val="18"/>
              </w:rPr>
              <w:t>临床研究</w:t>
            </w:r>
          </w:p>
        </w:tc>
      </w:tr>
      <w:tr w:rsidR="007C79EC" w:rsidRPr="00AD24B5" w14:paraId="087EEEEA" w14:textId="77777777" w:rsidTr="00C95643">
        <w:trPr>
          <w:jc w:val="center"/>
        </w:trPr>
        <w:tc>
          <w:tcPr>
            <w:tcW w:w="1384" w:type="dxa"/>
            <w:vMerge w:val="restart"/>
            <w:vAlign w:val="center"/>
          </w:tcPr>
          <w:p w14:paraId="78375FBE" w14:textId="12DDAEDA" w:rsidR="007C79EC" w:rsidRPr="00AD24B5" w:rsidRDefault="007C79EC" w:rsidP="00AF6948">
            <w:pPr>
              <w:spacing w:line="240" w:lineRule="auto"/>
              <w:rPr>
                <w:rFonts w:ascii="仿宋_GB2312" w:eastAsia="仿宋_GB2312" w:hAnsi="黑体"/>
                <w:sz w:val="18"/>
                <w:szCs w:val="18"/>
              </w:rPr>
            </w:pPr>
            <w:r w:rsidRPr="00AD24B5">
              <w:rPr>
                <w:rFonts w:ascii="仿宋_GB2312" w:eastAsia="仿宋_GB2312" w:hAnsi="黑体" w:hint="eastAsia"/>
                <w:sz w:val="18"/>
                <w:szCs w:val="18"/>
              </w:rPr>
              <w:t>（一）境内已有相同活性成分、适应症、剂型、规格的非处方药上市的药品</w:t>
            </w:r>
          </w:p>
        </w:tc>
        <w:tc>
          <w:tcPr>
            <w:tcW w:w="1104" w:type="dxa"/>
            <w:gridSpan w:val="2"/>
            <w:vMerge w:val="restart"/>
            <w:vAlign w:val="center"/>
          </w:tcPr>
          <w:p w14:paraId="7F60E315"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1.仿制境内上市的非处方药</w:t>
            </w:r>
          </w:p>
        </w:tc>
        <w:tc>
          <w:tcPr>
            <w:tcW w:w="2406" w:type="dxa"/>
            <w:gridSpan w:val="2"/>
            <w:vAlign w:val="center"/>
          </w:tcPr>
          <w:p w14:paraId="42F4AA2B"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1.1.所有特征一致</w:t>
            </w:r>
          </w:p>
        </w:tc>
        <w:tc>
          <w:tcPr>
            <w:tcW w:w="1364" w:type="dxa"/>
            <w:vAlign w:val="center"/>
          </w:tcPr>
          <w:p w14:paraId="3F31121B"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同处方药要求</w:t>
            </w:r>
          </w:p>
        </w:tc>
        <w:tc>
          <w:tcPr>
            <w:tcW w:w="1499" w:type="dxa"/>
            <w:vAlign w:val="center"/>
          </w:tcPr>
          <w:p w14:paraId="58907185"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w:t>
            </w:r>
          </w:p>
        </w:tc>
        <w:tc>
          <w:tcPr>
            <w:tcW w:w="1504" w:type="dxa"/>
            <w:vAlign w:val="center"/>
          </w:tcPr>
          <w:p w14:paraId="385FE1BF"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豁免/BE</w:t>
            </w:r>
          </w:p>
        </w:tc>
        <w:tc>
          <w:tcPr>
            <w:tcW w:w="1371" w:type="dxa"/>
            <w:vAlign w:val="center"/>
          </w:tcPr>
          <w:p w14:paraId="51641B7A"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w:t>
            </w:r>
          </w:p>
        </w:tc>
      </w:tr>
      <w:tr w:rsidR="00C17A57" w:rsidRPr="00AD24B5" w14:paraId="464BD35E" w14:textId="77777777" w:rsidTr="00C95643">
        <w:trPr>
          <w:jc w:val="center"/>
        </w:trPr>
        <w:tc>
          <w:tcPr>
            <w:tcW w:w="1384" w:type="dxa"/>
            <w:vMerge/>
            <w:vAlign w:val="center"/>
          </w:tcPr>
          <w:p w14:paraId="08A04773" w14:textId="77777777" w:rsidR="00C17A57" w:rsidRPr="00AD24B5" w:rsidRDefault="00C17A57" w:rsidP="007C79EC">
            <w:pPr>
              <w:spacing w:line="240" w:lineRule="auto"/>
              <w:rPr>
                <w:rFonts w:ascii="仿宋_GB2312" w:eastAsia="仿宋_GB2312" w:hAnsi="黑体"/>
                <w:sz w:val="18"/>
                <w:szCs w:val="18"/>
              </w:rPr>
            </w:pPr>
          </w:p>
        </w:tc>
        <w:tc>
          <w:tcPr>
            <w:tcW w:w="1104" w:type="dxa"/>
            <w:gridSpan w:val="2"/>
            <w:vMerge/>
            <w:vAlign w:val="center"/>
          </w:tcPr>
          <w:p w14:paraId="07E1C259" w14:textId="77777777" w:rsidR="00C17A57" w:rsidRPr="00AD24B5" w:rsidRDefault="00C17A57" w:rsidP="007C79EC">
            <w:pPr>
              <w:spacing w:line="240" w:lineRule="auto"/>
              <w:rPr>
                <w:rFonts w:ascii="仿宋_GB2312" w:eastAsia="仿宋_GB2312" w:hAnsi="黑体"/>
                <w:sz w:val="18"/>
                <w:szCs w:val="18"/>
              </w:rPr>
            </w:pPr>
          </w:p>
        </w:tc>
        <w:tc>
          <w:tcPr>
            <w:tcW w:w="2406" w:type="dxa"/>
            <w:gridSpan w:val="2"/>
            <w:vAlign w:val="center"/>
          </w:tcPr>
          <w:p w14:paraId="7AE99351" w14:textId="63E979A3" w:rsidR="00C17A57" w:rsidRPr="00AD24B5" w:rsidRDefault="00C17A57"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1.2.</w:t>
            </w:r>
            <w:r w:rsidR="005761B0" w:rsidRPr="00AD24B5">
              <w:rPr>
                <w:rFonts w:ascii="仿宋_GB2312" w:eastAsia="仿宋_GB2312" w:hAnsi="黑体" w:hint="eastAsia"/>
                <w:sz w:val="18"/>
                <w:szCs w:val="18"/>
              </w:rPr>
              <w:t>仅</w:t>
            </w:r>
            <w:r w:rsidRPr="00AD24B5">
              <w:rPr>
                <w:rFonts w:ascii="仿宋_GB2312" w:eastAsia="仿宋_GB2312" w:hAnsi="黑体" w:hint="eastAsia"/>
                <w:sz w:val="18"/>
                <w:szCs w:val="18"/>
              </w:rPr>
              <w:t>改变口味、颜色、气味、清凉度、稠度、硬度、包装规格等，且变更事项不影响药品质量和疗效特征</w:t>
            </w:r>
          </w:p>
        </w:tc>
        <w:tc>
          <w:tcPr>
            <w:tcW w:w="5738" w:type="dxa"/>
            <w:gridSpan w:val="4"/>
            <w:vAlign w:val="center"/>
          </w:tcPr>
          <w:p w14:paraId="00B8A2D7" w14:textId="3C349EDB" w:rsidR="00C17A57" w:rsidRPr="00AD24B5" w:rsidRDefault="00C17A57" w:rsidP="00C17A57">
            <w:pPr>
              <w:spacing w:line="240" w:lineRule="auto"/>
              <w:rPr>
                <w:rFonts w:ascii="仿宋_GB2312" w:eastAsia="仿宋_GB2312" w:hAnsi="黑体"/>
                <w:sz w:val="18"/>
                <w:szCs w:val="18"/>
              </w:rPr>
            </w:pPr>
            <w:r w:rsidRPr="00AD24B5">
              <w:rPr>
                <w:rFonts w:ascii="仿宋_GB2312" w:eastAsia="仿宋_GB2312" w:hAnsi="黑体" w:hint="eastAsia"/>
                <w:sz w:val="18"/>
                <w:szCs w:val="18"/>
              </w:rPr>
              <w:t>同1.1.的技术要求</w:t>
            </w:r>
          </w:p>
        </w:tc>
      </w:tr>
      <w:tr w:rsidR="007C79EC" w:rsidRPr="00AD24B5" w14:paraId="6060C190" w14:textId="77777777" w:rsidTr="00C95643">
        <w:trPr>
          <w:jc w:val="center"/>
        </w:trPr>
        <w:tc>
          <w:tcPr>
            <w:tcW w:w="1384" w:type="dxa"/>
            <w:vMerge w:val="restart"/>
            <w:vAlign w:val="center"/>
          </w:tcPr>
          <w:p w14:paraId="65F89F01" w14:textId="5D89AEBF" w:rsidR="007C79EC" w:rsidRPr="00AD24B5" w:rsidRDefault="007C79EC" w:rsidP="00AF6948">
            <w:pPr>
              <w:spacing w:line="240" w:lineRule="auto"/>
              <w:rPr>
                <w:rFonts w:ascii="仿宋_GB2312" w:eastAsia="仿宋_GB2312" w:hAnsi="黑体"/>
                <w:sz w:val="18"/>
                <w:szCs w:val="18"/>
              </w:rPr>
            </w:pPr>
            <w:r w:rsidRPr="00AD24B5">
              <w:rPr>
                <w:rFonts w:ascii="仿宋_GB2312" w:eastAsia="仿宋_GB2312" w:hAnsi="黑体" w:hint="eastAsia"/>
                <w:sz w:val="18"/>
                <w:szCs w:val="18"/>
              </w:rPr>
              <w:t>（二）经国家药品监督管理局确定的非处方药改变剂型或者规格，但不改变适应症、给药剂量以及给药途径的药品</w:t>
            </w:r>
          </w:p>
        </w:tc>
        <w:tc>
          <w:tcPr>
            <w:tcW w:w="1104" w:type="dxa"/>
            <w:gridSpan w:val="2"/>
            <w:vMerge w:val="restart"/>
            <w:vAlign w:val="center"/>
          </w:tcPr>
          <w:p w14:paraId="0DF8D736"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1.在境内上市的非处方药基础上，改变剂型</w:t>
            </w:r>
          </w:p>
        </w:tc>
        <w:tc>
          <w:tcPr>
            <w:tcW w:w="2406" w:type="dxa"/>
            <w:gridSpan w:val="2"/>
            <w:vAlign w:val="center"/>
          </w:tcPr>
          <w:p w14:paraId="1E64F109"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1.1.相同释药行为的新剂型</w:t>
            </w:r>
          </w:p>
        </w:tc>
        <w:tc>
          <w:tcPr>
            <w:tcW w:w="1364" w:type="dxa"/>
            <w:vAlign w:val="center"/>
          </w:tcPr>
          <w:p w14:paraId="217FA583"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同处方药要求</w:t>
            </w:r>
          </w:p>
        </w:tc>
        <w:tc>
          <w:tcPr>
            <w:tcW w:w="1499" w:type="dxa"/>
            <w:vAlign w:val="center"/>
          </w:tcPr>
          <w:p w14:paraId="38FD51C1"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w:t>
            </w:r>
          </w:p>
        </w:tc>
        <w:tc>
          <w:tcPr>
            <w:tcW w:w="1504" w:type="dxa"/>
            <w:vAlign w:val="center"/>
          </w:tcPr>
          <w:p w14:paraId="693637AC"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豁免/BE</w:t>
            </w:r>
          </w:p>
        </w:tc>
        <w:tc>
          <w:tcPr>
            <w:tcW w:w="1371" w:type="dxa"/>
            <w:vAlign w:val="center"/>
          </w:tcPr>
          <w:p w14:paraId="6002A42A"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w:t>
            </w:r>
          </w:p>
        </w:tc>
      </w:tr>
      <w:tr w:rsidR="007C79EC" w:rsidRPr="00AD24B5" w14:paraId="48BEB44D" w14:textId="77777777" w:rsidTr="00C95643">
        <w:trPr>
          <w:jc w:val="center"/>
        </w:trPr>
        <w:tc>
          <w:tcPr>
            <w:tcW w:w="1384" w:type="dxa"/>
            <w:vMerge/>
            <w:vAlign w:val="center"/>
          </w:tcPr>
          <w:p w14:paraId="7AEE9723" w14:textId="77777777" w:rsidR="007C79EC" w:rsidRPr="00AD24B5" w:rsidRDefault="007C79EC" w:rsidP="007C79EC">
            <w:pPr>
              <w:spacing w:line="240" w:lineRule="auto"/>
              <w:rPr>
                <w:rFonts w:ascii="仿宋_GB2312" w:eastAsia="仿宋_GB2312" w:hAnsi="黑体"/>
                <w:sz w:val="18"/>
                <w:szCs w:val="18"/>
              </w:rPr>
            </w:pPr>
          </w:p>
        </w:tc>
        <w:tc>
          <w:tcPr>
            <w:tcW w:w="1104" w:type="dxa"/>
            <w:gridSpan w:val="2"/>
            <w:vMerge/>
            <w:vAlign w:val="center"/>
          </w:tcPr>
          <w:p w14:paraId="2E291426" w14:textId="77777777" w:rsidR="007C79EC" w:rsidRPr="00AD24B5" w:rsidRDefault="007C79EC" w:rsidP="007C79EC">
            <w:pPr>
              <w:spacing w:line="240" w:lineRule="auto"/>
              <w:rPr>
                <w:rFonts w:ascii="仿宋_GB2312" w:eastAsia="仿宋_GB2312" w:hAnsi="黑体"/>
                <w:sz w:val="18"/>
                <w:szCs w:val="18"/>
              </w:rPr>
            </w:pPr>
          </w:p>
        </w:tc>
        <w:tc>
          <w:tcPr>
            <w:tcW w:w="2406" w:type="dxa"/>
            <w:gridSpan w:val="2"/>
            <w:vAlign w:val="center"/>
          </w:tcPr>
          <w:p w14:paraId="78F6C7FF"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1.2.改变释药行为的新剂型</w:t>
            </w:r>
          </w:p>
        </w:tc>
        <w:tc>
          <w:tcPr>
            <w:tcW w:w="1364" w:type="dxa"/>
            <w:vAlign w:val="center"/>
          </w:tcPr>
          <w:p w14:paraId="2E638BCE"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同处方药要求</w:t>
            </w:r>
          </w:p>
        </w:tc>
        <w:tc>
          <w:tcPr>
            <w:tcW w:w="1499" w:type="dxa"/>
            <w:vAlign w:val="center"/>
          </w:tcPr>
          <w:p w14:paraId="3BF73594"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豁免/必要的毒理毒代研究</w:t>
            </w:r>
          </w:p>
        </w:tc>
        <w:tc>
          <w:tcPr>
            <w:tcW w:w="1504" w:type="dxa"/>
            <w:vAlign w:val="center"/>
          </w:tcPr>
          <w:p w14:paraId="15CF3D25" w14:textId="268846F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豁免/BE</w:t>
            </w:r>
            <w:r w:rsidR="00076D8E" w:rsidRPr="00AD24B5">
              <w:rPr>
                <w:rFonts w:ascii="仿宋_GB2312" w:eastAsia="仿宋_GB2312" w:hAnsi="黑体" w:hint="eastAsia"/>
                <w:sz w:val="18"/>
                <w:szCs w:val="18"/>
              </w:rPr>
              <w:t>或BA</w:t>
            </w:r>
          </w:p>
        </w:tc>
        <w:tc>
          <w:tcPr>
            <w:tcW w:w="1371" w:type="dxa"/>
            <w:vAlign w:val="center"/>
          </w:tcPr>
          <w:p w14:paraId="4A6967C4"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豁免/必要的桥接研究</w:t>
            </w:r>
          </w:p>
        </w:tc>
      </w:tr>
      <w:tr w:rsidR="007C79EC" w:rsidRPr="00AD24B5" w14:paraId="0EFC9BA0" w14:textId="77777777" w:rsidTr="00C95643">
        <w:trPr>
          <w:trHeight w:val="1396"/>
          <w:jc w:val="center"/>
        </w:trPr>
        <w:tc>
          <w:tcPr>
            <w:tcW w:w="1384" w:type="dxa"/>
            <w:vMerge/>
            <w:vAlign w:val="center"/>
          </w:tcPr>
          <w:p w14:paraId="5717CF9A" w14:textId="77777777" w:rsidR="007C79EC" w:rsidRPr="00AD24B5" w:rsidRDefault="007C79EC" w:rsidP="007C79EC">
            <w:pPr>
              <w:spacing w:line="240" w:lineRule="auto"/>
              <w:rPr>
                <w:rFonts w:ascii="仿宋_GB2312" w:eastAsia="仿宋_GB2312" w:hAnsi="黑体"/>
                <w:sz w:val="18"/>
                <w:szCs w:val="18"/>
              </w:rPr>
            </w:pPr>
          </w:p>
        </w:tc>
        <w:tc>
          <w:tcPr>
            <w:tcW w:w="3510" w:type="dxa"/>
            <w:gridSpan w:val="4"/>
            <w:vAlign w:val="center"/>
          </w:tcPr>
          <w:p w14:paraId="47843AC9"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2.在境内已上市的非处方药基础上，改变规格</w:t>
            </w:r>
          </w:p>
        </w:tc>
        <w:tc>
          <w:tcPr>
            <w:tcW w:w="1364" w:type="dxa"/>
            <w:vAlign w:val="center"/>
          </w:tcPr>
          <w:p w14:paraId="36D003D1"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同处方药要求</w:t>
            </w:r>
          </w:p>
        </w:tc>
        <w:tc>
          <w:tcPr>
            <w:tcW w:w="1499" w:type="dxa"/>
            <w:vAlign w:val="center"/>
          </w:tcPr>
          <w:p w14:paraId="652F37C0"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w:t>
            </w:r>
          </w:p>
        </w:tc>
        <w:tc>
          <w:tcPr>
            <w:tcW w:w="1504" w:type="dxa"/>
            <w:vAlign w:val="center"/>
          </w:tcPr>
          <w:p w14:paraId="5F7A9DE2" w14:textId="649DD095"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豁免/BE</w:t>
            </w:r>
            <w:r w:rsidR="00076D8E" w:rsidRPr="00AD24B5">
              <w:rPr>
                <w:rFonts w:ascii="仿宋_GB2312" w:eastAsia="仿宋_GB2312" w:hAnsi="黑体" w:hint="eastAsia"/>
                <w:sz w:val="18"/>
                <w:szCs w:val="18"/>
              </w:rPr>
              <w:t>或BA</w:t>
            </w:r>
          </w:p>
        </w:tc>
        <w:tc>
          <w:tcPr>
            <w:tcW w:w="1371" w:type="dxa"/>
            <w:vAlign w:val="center"/>
          </w:tcPr>
          <w:p w14:paraId="7E07DED5"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w:t>
            </w:r>
          </w:p>
        </w:tc>
      </w:tr>
      <w:tr w:rsidR="007C79EC" w:rsidRPr="00AD24B5" w14:paraId="72613D6C" w14:textId="77777777" w:rsidTr="00C95643">
        <w:trPr>
          <w:jc w:val="center"/>
        </w:trPr>
        <w:tc>
          <w:tcPr>
            <w:tcW w:w="1384" w:type="dxa"/>
            <w:vAlign w:val="center"/>
          </w:tcPr>
          <w:p w14:paraId="0BEB018D"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（三）使用国家药品监督管理局确定的非处方药的活性成份组成的新的复方制剂</w:t>
            </w:r>
          </w:p>
        </w:tc>
        <w:tc>
          <w:tcPr>
            <w:tcW w:w="3510" w:type="dxa"/>
            <w:gridSpan w:val="4"/>
            <w:vAlign w:val="center"/>
          </w:tcPr>
          <w:p w14:paraId="51A72915"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1.境内上市的非处方药活性成分组成的新复方</w:t>
            </w:r>
          </w:p>
        </w:tc>
        <w:tc>
          <w:tcPr>
            <w:tcW w:w="1364" w:type="dxa"/>
            <w:vAlign w:val="center"/>
          </w:tcPr>
          <w:p w14:paraId="14DFE093"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同处方药要求</w:t>
            </w:r>
          </w:p>
        </w:tc>
        <w:tc>
          <w:tcPr>
            <w:tcW w:w="1499" w:type="dxa"/>
            <w:vAlign w:val="center"/>
          </w:tcPr>
          <w:p w14:paraId="6BB727FD"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豁免/必要的毒理毒代研究</w:t>
            </w:r>
          </w:p>
        </w:tc>
        <w:tc>
          <w:tcPr>
            <w:tcW w:w="1504" w:type="dxa"/>
            <w:vAlign w:val="center"/>
          </w:tcPr>
          <w:p w14:paraId="6C8604C7" w14:textId="53AAF7F1"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必要的</w:t>
            </w:r>
            <w:r w:rsidR="00367BF5" w:rsidRPr="00AD24B5">
              <w:rPr>
                <w:rFonts w:ascii="仿宋_GB2312" w:eastAsia="仿宋_GB2312" w:hAnsi="黑体" w:hint="eastAsia"/>
                <w:sz w:val="18"/>
                <w:szCs w:val="18"/>
              </w:rPr>
              <w:t>BE</w:t>
            </w:r>
            <w:r w:rsidRPr="00AD24B5">
              <w:rPr>
                <w:rFonts w:ascii="仿宋_GB2312" w:eastAsia="仿宋_GB2312" w:hAnsi="黑体" w:hint="eastAsia"/>
                <w:sz w:val="18"/>
                <w:szCs w:val="18"/>
              </w:rPr>
              <w:t>和药物相互作用研究</w:t>
            </w:r>
          </w:p>
        </w:tc>
        <w:tc>
          <w:tcPr>
            <w:tcW w:w="1371" w:type="dxa"/>
            <w:vAlign w:val="center"/>
          </w:tcPr>
          <w:p w14:paraId="6C722779"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豁免/必要的桥接研究</w:t>
            </w:r>
          </w:p>
        </w:tc>
      </w:tr>
      <w:tr w:rsidR="007C79EC" w:rsidRPr="00AD24B5" w14:paraId="0A87CEBF" w14:textId="77777777" w:rsidTr="00C95643">
        <w:trPr>
          <w:jc w:val="center"/>
        </w:trPr>
        <w:tc>
          <w:tcPr>
            <w:tcW w:w="1384" w:type="dxa"/>
            <w:vMerge w:val="restart"/>
            <w:vAlign w:val="center"/>
          </w:tcPr>
          <w:p w14:paraId="177E4ACD"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（四）其他直</w:t>
            </w:r>
            <w:r w:rsidRPr="00AD24B5">
              <w:rPr>
                <w:rFonts w:ascii="仿宋_GB2312" w:eastAsia="仿宋_GB2312" w:hAnsi="黑体" w:hint="eastAsia"/>
                <w:sz w:val="18"/>
                <w:szCs w:val="18"/>
              </w:rPr>
              <w:lastRenderedPageBreak/>
              <w:t>接申报非处方药上市许可的情形</w:t>
            </w:r>
          </w:p>
        </w:tc>
        <w:tc>
          <w:tcPr>
            <w:tcW w:w="1026" w:type="dxa"/>
            <w:vMerge w:val="restart"/>
            <w:vAlign w:val="center"/>
          </w:tcPr>
          <w:p w14:paraId="630869F8"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lastRenderedPageBreak/>
              <w:t>1.境外上</w:t>
            </w:r>
            <w:r w:rsidRPr="00AD24B5">
              <w:rPr>
                <w:rFonts w:ascii="仿宋_GB2312" w:eastAsia="仿宋_GB2312" w:hAnsi="黑体" w:hint="eastAsia"/>
                <w:sz w:val="18"/>
                <w:szCs w:val="18"/>
              </w:rPr>
              <w:lastRenderedPageBreak/>
              <w:t>市的非处方药</w:t>
            </w:r>
          </w:p>
        </w:tc>
        <w:tc>
          <w:tcPr>
            <w:tcW w:w="2484" w:type="dxa"/>
            <w:gridSpan w:val="3"/>
            <w:vAlign w:val="center"/>
          </w:tcPr>
          <w:p w14:paraId="54D64495"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lastRenderedPageBreak/>
              <w:t>1.1.上市基础良好</w:t>
            </w:r>
          </w:p>
        </w:tc>
        <w:tc>
          <w:tcPr>
            <w:tcW w:w="1364" w:type="dxa"/>
            <w:vAlign w:val="center"/>
          </w:tcPr>
          <w:p w14:paraId="3B11DAC7"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同处方药要求</w:t>
            </w:r>
          </w:p>
        </w:tc>
        <w:tc>
          <w:tcPr>
            <w:tcW w:w="1499" w:type="dxa"/>
            <w:vAlign w:val="center"/>
          </w:tcPr>
          <w:p w14:paraId="3702C52F"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w:t>
            </w:r>
          </w:p>
        </w:tc>
        <w:tc>
          <w:tcPr>
            <w:tcW w:w="1504" w:type="dxa"/>
            <w:vAlign w:val="center"/>
          </w:tcPr>
          <w:p w14:paraId="00535B18"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w:t>
            </w:r>
          </w:p>
        </w:tc>
        <w:tc>
          <w:tcPr>
            <w:tcW w:w="1371" w:type="dxa"/>
            <w:vAlign w:val="center"/>
          </w:tcPr>
          <w:p w14:paraId="18DA51FB"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豁免/必要的</w:t>
            </w:r>
            <w:r w:rsidRPr="00AD24B5">
              <w:rPr>
                <w:rFonts w:ascii="仿宋_GB2312" w:eastAsia="仿宋_GB2312" w:hAnsi="黑体" w:hint="eastAsia"/>
                <w:sz w:val="18"/>
                <w:szCs w:val="18"/>
              </w:rPr>
              <w:lastRenderedPageBreak/>
              <w:t>桥接研究</w:t>
            </w:r>
          </w:p>
        </w:tc>
      </w:tr>
      <w:tr w:rsidR="007C79EC" w:rsidRPr="00AD24B5" w14:paraId="37D9B35A" w14:textId="77777777" w:rsidTr="00C95643">
        <w:trPr>
          <w:jc w:val="center"/>
        </w:trPr>
        <w:tc>
          <w:tcPr>
            <w:tcW w:w="1384" w:type="dxa"/>
            <w:vMerge/>
            <w:vAlign w:val="center"/>
          </w:tcPr>
          <w:p w14:paraId="17133EF3" w14:textId="77777777" w:rsidR="007C79EC" w:rsidRPr="00AD24B5" w:rsidRDefault="007C79EC" w:rsidP="007C79EC">
            <w:pPr>
              <w:spacing w:line="240" w:lineRule="auto"/>
              <w:rPr>
                <w:rFonts w:ascii="仿宋_GB2312" w:eastAsia="仿宋_GB2312" w:hAnsi="黑体"/>
                <w:sz w:val="18"/>
                <w:szCs w:val="18"/>
              </w:rPr>
            </w:pPr>
          </w:p>
        </w:tc>
        <w:tc>
          <w:tcPr>
            <w:tcW w:w="1026" w:type="dxa"/>
            <w:vMerge/>
            <w:vAlign w:val="center"/>
          </w:tcPr>
          <w:p w14:paraId="5862B9D6" w14:textId="77777777" w:rsidR="007C79EC" w:rsidRPr="00AD24B5" w:rsidRDefault="007C79EC" w:rsidP="007C79EC">
            <w:pPr>
              <w:spacing w:line="240" w:lineRule="auto"/>
              <w:rPr>
                <w:rFonts w:ascii="仿宋_GB2312" w:eastAsia="仿宋_GB2312" w:hAnsi="黑体"/>
                <w:sz w:val="18"/>
                <w:szCs w:val="18"/>
              </w:rPr>
            </w:pPr>
          </w:p>
        </w:tc>
        <w:tc>
          <w:tcPr>
            <w:tcW w:w="2484" w:type="dxa"/>
            <w:gridSpan w:val="3"/>
            <w:vAlign w:val="center"/>
          </w:tcPr>
          <w:p w14:paraId="5E8036AA"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1.2.上市基础较好，但需按照我国注册要求补充部分研究内容</w:t>
            </w:r>
          </w:p>
        </w:tc>
        <w:tc>
          <w:tcPr>
            <w:tcW w:w="1364" w:type="dxa"/>
            <w:vAlign w:val="center"/>
          </w:tcPr>
          <w:p w14:paraId="77BE07B3"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同处方药要求</w:t>
            </w:r>
          </w:p>
        </w:tc>
        <w:tc>
          <w:tcPr>
            <w:tcW w:w="1499" w:type="dxa"/>
            <w:vAlign w:val="center"/>
          </w:tcPr>
          <w:p w14:paraId="503A461A"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豁免/必要的毒理毒代研究</w:t>
            </w:r>
          </w:p>
        </w:tc>
        <w:tc>
          <w:tcPr>
            <w:tcW w:w="1504" w:type="dxa"/>
            <w:vAlign w:val="center"/>
          </w:tcPr>
          <w:p w14:paraId="66A038D2"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豁免/必要的临床药理学研究</w:t>
            </w:r>
          </w:p>
        </w:tc>
        <w:tc>
          <w:tcPr>
            <w:tcW w:w="1371" w:type="dxa"/>
            <w:vAlign w:val="center"/>
          </w:tcPr>
          <w:p w14:paraId="2BB0C747"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豁免/必要的桥接研究</w:t>
            </w:r>
          </w:p>
        </w:tc>
      </w:tr>
      <w:tr w:rsidR="007C79EC" w:rsidRPr="00AD24B5" w14:paraId="2FFB718E" w14:textId="77777777" w:rsidTr="00C95643">
        <w:trPr>
          <w:jc w:val="center"/>
        </w:trPr>
        <w:tc>
          <w:tcPr>
            <w:tcW w:w="1384" w:type="dxa"/>
            <w:vMerge/>
            <w:vAlign w:val="center"/>
          </w:tcPr>
          <w:p w14:paraId="35C26541" w14:textId="77777777" w:rsidR="007C79EC" w:rsidRPr="00AD24B5" w:rsidRDefault="007C79EC" w:rsidP="007C79EC">
            <w:pPr>
              <w:spacing w:line="240" w:lineRule="auto"/>
              <w:rPr>
                <w:rFonts w:ascii="仿宋_GB2312" w:eastAsia="仿宋_GB2312" w:hAnsi="黑体"/>
                <w:sz w:val="18"/>
                <w:szCs w:val="18"/>
              </w:rPr>
            </w:pPr>
          </w:p>
        </w:tc>
        <w:tc>
          <w:tcPr>
            <w:tcW w:w="1026" w:type="dxa"/>
            <w:vMerge/>
            <w:vAlign w:val="center"/>
          </w:tcPr>
          <w:p w14:paraId="7DB3351E" w14:textId="77777777" w:rsidR="007C79EC" w:rsidRPr="00AD24B5" w:rsidRDefault="007C79EC" w:rsidP="007C79EC">
            <w:pPr>
              <w:spacing w:line="240" w:lineRule="auto"/>
              <w:rPr>
                <w:rFonts w:ascii="仿宋_GB2312" w:eastAsia="仿宋_GB2312" w:hAnsi="黑体"/>
                <w:sz w:val="18"/>
                <w:szCs w:val="18"/>
              </w:rPr>
            </w:pPr>
          </w:p>
        </w:tc>
        <w:tc>
          <w:tcPr>
            <w:tcW w:w="2484" w:type="dxa"/>
            <w:gridSpan w:val="3"/>
            <w:vAlign w:val="center"/>
          </w:tcPr>
          <w:p w14:paraId="5F09BD2D"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1.3.上市基础较差，无法通过补充研究达到我国注册要求</w:t>
            </w:r>
          </w:p>
        </w:tc>
        <w:tc>
          <w:tcPr>
            <w:tcW w:w="5738" w:type="dxa"/>
            <w:gridSpan w:val="4"/>
            <w:vAlign w:val="center"/>
          </w:tcPr>
          <w:p w14:paraId="13AB5C2A"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不建议申报</w:t>
            </w:r>
          </w:p>
        </w:tc>
      </w:tr>
      <w:tr w:rsidR="007C79EC" w:rsidRPr="00AD24B5" w14:paraId="2176C1BD" w14:textId="77777777" w:rsidTr="00C95643">
        <w:trPr>
          <w:jc w:val="center"/>
        </w:trPr>
        <w:tc>
          <w:tcPr>
            <w:tcW w:w="1384" w:type="dxa"/>
            <w:vMerge/>
            <w:vAlign w:val="center"/>
          </w:tcPr>
          <w:p w14:paraId="5C401433" w14:textId="77777777" w:rsidR="007C79EC" w:rsidRPr="00AD24B5" w:rsidRDefault="007C79EC" w:rsidP="007C79EC">
            <w:pPr>
              <w:spacing w:line="240" w:lineRule="auto"/>
              <w:rPr>
                <w:rFonts w:ascii="仿宋_GB2312" w:eastAsia="仿宋_GB2312" w:hAnsi="黑体"/>
                <w:sz w:val="18"/>
                <w:szCs w:val="18"/>
              </w:rPr>
            </w:pPr>
          </w:p>
        </w:tc>
        <w:tc>
          <w:tcPr>
            <w:tcW w:w="1026" w:type="dxa"/>
            <w:vMerge w:val="restart"/>
            <w:vAlign w:val="center"/>
          </w:tcPr>
          <w:p w14:paraId="2153CA89"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2.仿制境外上市但境内未上市的非处方药</w:t>
            </w:r>
          </w:p>
        </w:tc>
        <w:tc>
          <w:tcPr>
            <w:tcW w:w="851" w:type="dxa"/>
            <w:gridSpan w:val="2"/>
            <w:vMerge w:val="restart"/>
            <w:vAlign w:val="center"/>
          </w:tcPr>
          <w:p w14:paraId="268DB3BA"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2.1.所有特征一致</w:t>
            </w:r>
          </w:p>
        </w:tc>
        <w:tc>
          <w:tcPr>
            <w:tcW w:w="1633" w:type="dxa"/>
            <w:vAlign w:val="center"/>
          </w:tcPr>
          <w:p w14:paraId="2534A4C3"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2.1.1.被仿品境外上市基础良好</w:t>
            </w:r>
          </w:p>
        </w:tc>
        <w:tc>
          <w:tcPr>
            <w:tcW w:w="1364" w:type="dxa"/>
            <w:vAlign w:val="center"/>
          </w:tcPr>
          <w:p w14:paraId="6FA19D89"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同处方药要求</w:t>
            </w:r>
          </w:p>
        </w:tc>
        <w:tc>
          <w:tcPr>
            <w:tcW w:w="1499" w:type="dxa"/>
            <w:vAlign w:val="center"/>
          </w:tcPr>
          <w:p w14:paraId="262582AA"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w:t>
            </w:r>
          </w:p>
        </w:tc>
        <w:tc>
          <w:tcPr>
            <w:tcW w:w="1504" w:type="dxa"/>
            <w:vAlign w:val="center"/>
          </w:tcPr>
          <w:p w14:paraId="08126AD5"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BE</w:t>
            </w:r>
          </w:p>
        </w:tc>
        <w:tc>
          <w:tcPr>
            <w:tcW w:w="1371" w:type="dxa"/>
            <w:vAlign w:val="center"/>
          </w:tcPr>
          <w:p w14:paraId="45993443"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豁免/必要的桥接研究</w:t>
            </w:r>
          </w:p>
        </w:tc>
      </w:tr>
      <w:tr w:rsidR="007C79EC" w:rsidRPr="00AD24B5" w14:paraId="5F11B2A0" w14:textId="77777777" w:rsidTr="00C95643">
        <w:trPr>
          <w:jc w:val="center"/>
        </w:trPr>
        <w:tc>
          <w:tcPr>
            <w:tcW w:w="1384" w:type="dxa"/>
            <w:vMerge/>
            <w:vAlign w:val="center"/>
          </w:tcPr>
          <w:p w14:paraId="63F32981" w14:textId="77777777" w:rsidR="007C79EC" w:rsidRPr="00AD24B5" w:rsidRDefault="007C79EC" w:rsidP="007C79EC">
            <w:pPr>
              <w:spacing w:line="240" w:lineRule="auto"/>
              <w:rPr>
                <w:rFonts w:ascii="仿宋_GB2312" w:eastAsia="仿宋_GB2312" w:hAnsi="黑体"/>
                <w:sz w:val="18"/>
                <w:szCs w:val="18"/>
              </w:rPr>
            </w:pPr>
          </w:p>
        </w:tc>
        <w:tc>
          <w:tcPr>
            <w:tcW w:w="1026" w:type="dxa"/>
            <w:vMerge/>
            <w:vAlign w:val="center"/>
          </w:tcPr>
          <w:p w14:paraId="028C1C66" w14:textId="77777777" w:rsidR="007C79EC" w:rsidRPr="00AD24B5" w:rsidRDefault="007C79EC" w:rsidP="007C79EC">
            <w:pPr>
              <w:spacing w:line="240" w:lineRule="auto"/>
              <w:rPr>
                <w:rFonts w:ascii="仿宋_GB2312" w:eastAsia="仿宋_GB2312" w:hAnsi="黑体"/>
                <w:sz w:val="18"/>
                <w:szCs w:val="18"/>
              </w:rPr>
            </w:pPr>
          </w:p>
        </w:tc>
        <w:tc>
          <w:tcPr>
            <w:tcW w:w="851" w:type="dxa"/>
            <w:gridSpan w:val="2"/>
            <w:vMerge/>
            <w:vAlign w:val="center"/>
          </w:tcPr>
          <w:p w14:paraId="542A230F" w14:textId="77777777" w:rsidR="007C79EC" w:rsidRPr="00AD24B5" w:rsidRDefault="007C79EC" w:rsidP="007C79EC">
            <w:pPr>
              <w:spacing w:line="240" w:lineRule="auto"/>
              <w:rPr>
                <w:rFonts w:ascii="仿宋_GB2312" w:eastAsia="仿宋_GB2312" w:hAnsi="黑体"/>
                <w:sz w:val="18"/>
                <w:szCs w:val="18"/>
              </w:rPr>
            </w:pPr>
          </w:p>
        </w:tc>
        <w:tc>
          <w:tcPr>
            <w:tcW w:w="1633" w:type="dxa"/>
            <w:vAlign w:val="center"/>
          </w:tcPr>
          <w:p w14:paraId="6F8FE485"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2.1.2.被仿品境外上市基础较好，但需按照我国注册要求补充部分研究内容</w:t>
            </w:r>
          </w:p>
        </w:tc>
        <w:tc>
          <w:tcPr>
            <w:tcW w:w="1364" w:type="dxa"/>
            <w:vAlign w:val="center"/>
          </w:tcPr>
          <w:p w14:paraId="7E3EACA3"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同处方药要求</w:t>
            </w:r>
          </w:p>
        </w:tc>
        <w:tc>
          <w:tcPr>
            <w:tcW w:w="1499" w:type="dxa"/>
            <w:vAlign w:val="center"/>
          </w:tcPr>
          <w:p w14:paraId="4571DFD4"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豁免/必要的毒理毒代研究</w:t>
            </w:r>
          </w:p>
        </w:tc>
        <w:tc>
          <w:tcPr>
            <w:tcW w:w="1504" w:type="dxa"/>
            <w:vAlign w:val="center"/>
          </w:tcPr>
          <w:p w14:paraId="3CA4902C"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BE及必要的临床药理学研究</w:t>
            </w:r>
          </w:p>
        </w:tc>
        <w:tc>
          <w:tcPr>
            <w:tcW w:w="1371" w:type="dxa"/>
            <w:vAlign w:val="center"/>
          </w:tcPr>
          <w:p w14:paraId="103BBEC1"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豁免/必要的桥接研究</w:t>
            </w:r>
          </w:p>
        </w:tc>
      </w:tr>
      <w:tr w:rsidR="007C79EC" w:rsidRPr="00AD24B5" w14:paraId="4EA47EDE" w14:textId="77777777" w:rsidTr="00C95643">
        <w:trPr>
          <w:jc w:val="center"/>
        </w:trPr>
        <w:tc>
          <w:tcPr>
            <w:tcW w:w="1384" w:type="dxa"/>
            <w:vMerge/>
            <w:vAlign w:val="center"/>
          </w:tcPr>
          <w:p w14:paraId="44FE8D06" w14:textId="77777777" w:rsidR="007C79EC" w:rsidRPr="00AD24B5" w:rsidRDefault="007C79EC" w:rsidP="007C79EC">
            <w:pPr>
              <w:spacing w:line="240" w:lineRule="auto"/>
              <w:rPr>
                <w:rFonts w:ascii="仿宋_GB2312" w:eastAsia="仿宋_GB2312" w:hAnsi="黑体"/>
                <w:sz w:val="18"/>
                <w:szCs w:val="18"/>
              </w:rPr>
            </w:pPr>
          </w:p>
        </w:tc>
        <w:tc>
          <w:tcPr>
            <w:tcW w:w="1026" w:type="dxa"/>
            <w:vMerge/>
            <w:vAlign w:val="center"/>
          </w:tcPr>
          <w:p w14:paraId="74750468" w14:textId="77777777" w:rsidR="007C79EC" w:rsidRPr="00AD24B5" w:rsidRDefault="007C79EC" w:rsidP="007C79EC">
            <w:pPr>
              <w:spacing w:line="240" w:lineRule="auto"/>
              <w:rPr>
                <w:rFonts w:ascii="仿宋_GB2312" w:eastAsia="仿宋_GB2312" w:hAnsi="黑体"/>
                <w:sz w:val="18"/>
                <w:szCs w:val="18"/>
              </w:rPr>
            </w:pPr>
          </w:p>
        </w:tc>
        <w:tc>
          <w:tcPr>
            <w:tcW w:w="851" w:type="dxa"/>
            <w:gridSpan w:val="2"/>
            <w:vMerge/>
            <w:vAlign w:val="center"/>
          </w:tcPr>
          <w:p w14:paraId="4836F2D5" w14:textId="77777777" w:rsidR="007C79EC" w:rsidRPr="00AD24B5" w:rsidRDefault="007C79EC" w:rsidP="007C79EC">
            <w:pPr>
              <w:spacing w:line="240" w:lineRule="auto"/>
              <w:rPr>
                <w:rFonts w:ascii="仿宋_GB2312" w:eastAsia="仿宋_GB2312" w:hAnsi="黑体"/>
                <w:sz w:val="18"/>
                <w:szCs w:val="18"/>
              </w:rPr>
            </w:pPr>
          </w:p>
        </w:tc>
        <w:tc>
          <w:tcPr>
            <w:tcW w:w="1633" w:type="dxa"/>
            <w:vAlign w:val="center"/>
          </w:tcPr>
          <w:p w14:paraId="7F0EA22D"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2.1.3.被仿品境外上市基础较差，无法通过补充研究达到我国注册要求</w:t>
            </w:r>
          </w:p>
        </w:tc>
        <w:tc>
          <w:tcPr>
            <w:tcW w:w="5738" w:type="dxa"/>
            <w:gridSpan w:val="4"/>
            <w:vAlign w:val="center"/>
          </w:tcPr>
          <w:p w14:paraId="6F709F84"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不建议申报</w:t>
            </w:r>
          </w:p>
        </w:tc>
      </w:tr>
      <w:tr w:rsidR="007C79EC" w:rsidRPr="00AD24B5" w14:paraId="643023BF" w14:textId="77777777" w:rsidTr="00C95643">
        <w:trPr>
          <w:jc w:val="center"/>
        </w:trPr>
        <w:tc>
          <w:tcPr>
            <w:tcW w:w="1384" w:type="dxa"/>
            <w:vMerge/>
            <w:vAlign w:val="center"/>
          </w:tcPr>
          <w:p w14:paraId="17A3E47E" w14:textId="77777777" w:rsidR="007C79EC" w:rsidRPr="00AD24B5" w:rsidRDefault="007C79EC" w:rsidP="007C79EC">
            <w:pPr>
              <w:spacing w:line="240" w:lineRule="auto"/>
              <w:rPr>
                <w:rFonts w:ascii="仿宋_GB2312" w:eastAsia="仿宋_GB2312" w:hAnsi="黑体"/>
                <w:sz w:val="18"/>
                <w:szCs w:val="18"/>
              </w:rPr>
            </w:pPr>
          </w:p>
        </w:tc>
        <w:tc>
          <w:tcPr>
            <w:tcW w:w="1026" w:type="dxa"/>
            <w:vMerge/>
            <w:vAlign w:val="center"/>
          </w:tcPr>
          <w:p w14:paraId="05816116" w14:textId="77777777" w:rsidR="007C79EC" w:rsidRPr="00AD24B5" w:rsidRDefault="007C79EC" w:rsidP="007C79EC">
            <w:pPr>
              <w:spacing w:line="240" w:lineRule="auto"/>
              <w:rPr>
                <w:rFonts w:ascii="仿宋_GB2312" w:eastAsia="仿宋_GB2312" w:hAnsi="黑体"/>
                <w:sz w:val="18"/>
                <w:szCs w:val="18"/>
              </w:rPr>
            </w:pPr>
          </w:p>
        </w:tc>
        <w:tc>
          <w:tcPr>
            <w:tcW w:w="2484" w:type="dxa"/>
            <w:gridSpan w:val="3"/>
            <w:vAlign w:val="center"/>
          </w:tcPr>
          <w:p w14:paraId="4F763C05" w14:textId="4C75EB89"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2.2.在被仿品基础上，</w:t>
            </w:r>
            <w:r w:rsidR="005761B0" w:rsidRPr="00AD24B5">
              <w:rPr>
                <w:rFonts w:ascii="仿宋_GB2312" w:eastAsia="仿宋_GB2312" w:hAnsi="黑体" w:hint="eastAsia"/>
                <w:sz w:val="18"/>
                <w:szCs w:val="18"/>
              </w:rPr>
              <w:t>仅</w:t>
            </w:r>
            <w:r w:rsidRPr="00AD24B5">
              <w:rPr>
                <w:rFonts w:ascii="仿宋_GB2312" w:eastAsia="仿宋_GB2312" w:hAnsi="黑体" w:hint="eastAsia"/>
                <w:sz w:val="18"/>
                <w:szCs w:val="18"/>
              </w:rPr>
              <w:t>改变口味、颜色、气味、清凉度、稠度、硬度、包装规格等，</w:t>
            </w:r>
            <w:r w:rsidR="005761B0" w:rsidRPr="00AD24B5">
              <w:rPr>
                <w:rFonts w:ascii="仿宋_GB2312" w:eastAsia="仿宋_GB2312" w:hAnsi="黑体" w:hint="eastAsia"/>
                <w:sz w:val="18"/>
                <w:szCs w:val="18"/>
              </w:rPr>
              <w:t>且</w:t>
            </w:r>
            <w:r w:rsidRPr="00AD24B5">
              <w:rPr>
                <w:rFonts w:ascii="仿宋_GB2312" w:eastAsia="仿宋_GB2312" w:hAnsi="黑体" w:hint="eastAsia"/>
                <w:sz w:val="18"/>
                <w:szCs w:val="18"/>
              </w:rPr>
              <w:t>变更事项不影响药品质量和疗效特征</w:t>
            </w:r>
          </w:p>
        </w:tc>
        <w:tc>
          <w:tcPr>
            <w:tcW w:w="5738" w:type="dxa"/>
            <w:gridSpan w:val="4"/>
            <w:vAlign w:val="center"/>
          </w:tcPr>
          <w:p w14:paraId="05E95A0C" w14:textId="0FE8E408" w:rsidR="007C79EC" w:rsidRPr="00AD24B5" w:rsidRDefault="00C17A57" w:rsidP="00C17A57">
            <w:pPr>
              <w:spacing w:line="240" w:lineRule="auto"/>
              <w:rPr>
                <w:rFonts w:ascii="仿宋_GB2312" w:eastAsia="仿宋_GB2312" w:hAnsi="黑体"/>
                <w:sz w:val="18"/>
                <w:szCs w:val="18"/>
              </w:rPr>
            </w:pPr>
            <w:r w:rsidRPr="00AD24B5">
              <w:rPr>
                <w:rFonts w:ascii="仿宋_GB2312" w:eastAsia="仿宋_GB2312" w:hAnsi="黑体" w:hint="eastAsia"/>
                <w:sz w:val="18"/>
                <w:szCs w:val="18"/>
              </w:rPr>
              <w:t>同</w:t>
            </w:r>
            <w:r w:rsidR="007C79EC" w:rsidRPr="00AD24B5">
              <w:rPr>
                <w:rFonts w:ascii="仿宋_GB2312" w:eastAsia="仿宋_GB2312" w:hAnsi="黑体" w:hint="eastAsia"/>
                <w:sz w:val="18"/>
                <w:szCs w:val="18"/>
              </w:rPr>
              <w:t>2.1.1</w:t>
            </w:r>
            <w:r w:rsidRPr="00AD24B5">
              <w:rPr>
                <w:rFonts w:ascii="仿宋_GB2312" w:eastAsia="仿宋_GB2312" w:hAnsi="黑体" w:hint="eastAsia"/>
                <w:sz w:val="18"/>
                <w:szCs w:val="18"/>
              </w:rPr>
              <w:t>.</w:t>
            </w:r>
            <w:r w:rsidR="007C79EC" w:rsidRPr="00AD24B5">
              <w:rPr>
                <w:rFonts w:ascii="仿宋_GB2312" w:eastAsia="仿宋_GB2312" w:hAnsi="黑体" w:hint="eastAsia"/>
                <w:sz w:val="18"/>
                <w:szCs w:val="18"/>
              </w:rPr>
              <w:t>和2.1.2.的技术要求</w:t>
            </w:r>
          </w:p>
        </w:tc>
      </w:tr>
      <w:tr w:rsidR="007C79EC" w:rsidRPr="00AD24B5" w14:paraId="02C2506C" w14:textId="77777777" w:rsidTr="00C95643">
        <w:trPr>
          <w:jc w:val="center"/>
        </w:trPr>
        <w:tc>
          <w:tcPr>
            <w:tcW w:w="1384" w:type="dxa"/>
            <w:vMerge/>
            <w:vAlign w:val="center"/>
          </w:tcPr>
          <w:p w14:paraId="25D848BB" w14:textId="77777777" w:rsidR="007C79EC" w:rsidRPr="00AD24B5" w:rsidRDefault="007C79EC" w:rsidP="007C79EC">
            <w:pPr>
              <w:spacing w:line="240" w:lineRule="auto"/>
              <w:rPr>
                <w:rFonts w:ascii="仿宋_GB2312" w:eastAsia="仿宋_GB2312" w:hAnsi="黑体"/>
                <w:sz w:val="18"/>
                <w:szCs w:val="18"/>
              </w:rPr>
            </w:pPr>
          </w:p>
        </w:tc>
        <w:tc>
          <w:tcPr>
            <w:tcW w:w="3510" w:type="dxa"/>
            <w:gridSpan w:val="4"/>
            <w:vAlign w:val="center"/>
          </w:tcPr>
          <w:p w14:paraId="756AE873" w14:textId="2FA4DAA9"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3.</w:t>
            </w:r>
            <w:r w:rsidR="00927CB2" w:rsidRPr="00AD24B5">
              <w:rPr>
                <w:rFonts w:hint="eastAsia"/>
              </w:rPr>
              <w:t xml:space="preserve"> </w:t>
            </w:r>
            <w:r w:rsidR="00927CB2" w:rsidRPr="00AD24B5">
              <w:rPr>
                <w:rFonts w:ascii="仿宋_GB2312" w:eastAsia="仿宋_GB2312" w:hAnsi="黑体" w:hint="eastAsia"/>
                <w:sz w:val="18"/>
                <w:szCs w:val="18"/>
              </w:rPr>
              <w:t>境内已上市的非处方药，</w:t>
            </w:r>
            <w:r w:rsidRPr="00AD24B5">
              <w:rPr>
                <w:rFonts w:ascii="仿宋_GB2312" w:eastAsia="仿宋_GB2312" w:hAnsi="黑体" w:hint="eastAsia"/>
                <w:sz w:val="18"/>
                <w:szCs w:val="18"/>
              </w:rPr>
              <w:t>新</w:t>
            </w:r>
            <w:r w:rsidR="00DA51CF" w:rsidRPr="00AD24B5">
              <w:rPr>
                <w:rFonts w:ascii="仿宋_GB2312" w:eastAsia="仿宋_GB2312" w:hAnsi="黑体" w:hint="eastAsia"/>
                <w:sz w:val="18"/>
                <w:szCs w:val="18"/>
              </w:rPr>
              <w:t>增</w:t>
            </w:r>
            <w:r w:rsidRPr="00AD24B5">
              <w:rPr>
                <w:rFonts w:ascii="仿宋_GB2312" w:eastAsia="仿宋_GB2312" w:hAnsi="黑体" w:hint="eastAsia"/>
                <w:sz w:val="18"/>
                <w:szCs w:val="18"/>
              </w:rPr>
              <w:t>适应症/用药人群</w:t>
            </w:r>
          </w:p>
        </w:tc>
        <w:tc>
          <w:tcPr>
            <w:tcW w:w="1364" w:type="dxa"/>
            <w:vAlign w:val="center"/>
          </w:tcPr>
          <w:p w14:paraId="21647EA9"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同处方药要求</w:t>
            </w:r>
          </w:p>
        </w:tc>
        <w:tc>
          <w:tcPr>
            <w:tcW w:w="1499" w:type="dxa"/>
            <w:vAlign w:val="center"/>
          </w:tcPr>
          <w:p w14:paraId="275BEF0A"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必要的毒理毒代研究</w:t>
            </w:r>
          </w:p>
        </w:tc>
        <w:tc>
          <w:tcPr>
            <w:tcW w:w="1504" w:type="dxa"/>
            <w:vAlign w:val="center"/>
          </w:tcPr>
          <w:p w14:paraId="0CEE1DB7"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必要的临床药理学研究</w:t>
            </w:r>
          </w:p>
        </w:tc>
        <w:tc>
          <w:tcPr>
            <w:tcW w:w="1371" w:type="dxa"/>
            <w:vAlign w:val="center"/>
          </w:tcPr>
          <w:p w14:paraId="25F6A91C"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必要的疗效验证或确证研究</w:t>
            </w:r>
          </w:p>
        </w:tc>
      </w:tr>
      <w:tr w:rsidR="007C79EC" w:rsidRPr="00AD24B5" w14:paraId="71E1F903" w14:textId="77777777" w:rsidTr="00C95643">
        <w:trPr>
          <w:jc w:val="center"/>
        </w:trPr>
        <w:tc>
          <w:tcPr>
            <w:tcW w:w="1384" w:type="dxa"/>
            <w:vMerge/>
            <w:vAlign w:val="center"/>
          </w:tcPr>
          <w:p w14:paraId="7393EA04" w14:textId="77777777" w:rsidR="007C79EC" w:rsidRPr="00AD24B5" w:rsidRDefault="007C79EC" w:rsidP="007C79EC">
            <w:pPr>
              <w:spacing w:line="240" w:lineRule="auto"/>
              <w:rPr>
                <w:rFonts w:ascii="仿宋_GB2312" w:eastAsia="仿宋_GB2312" w:hAnsi="黑体"/>
                <w:sz w:val="18"/>
                <w:szCs w:val="18"/>
              </w:rPr>
            </w:pPr>
          </w:p>
        </w:tc>
        <w:tc>
          <w:tcPr>
            <w:tcW w:w="3510" w:type="dxa"/>
            <w:gridSpan w:val="4"/>
            <w:vAlign w:val="center"/>
          </w:tcPr>
          <w:p w14:paraId="0C8590CC" w14:textId="626559D6"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4.</w:t>
            </w:r>
            <w:r w:rsidR="00927CB2" w:rsidRPr="00AD24B5">
              <w:rPr>
                <w:rFonts w:ascii="仿宋_GB2312" w:eastAsia="仿宋_GB2312" w:hAnsi="黑体" w:hint="eastAsia"/>
                <w:sz w:val="18"/>
                <w:szCs w:val="18"/>
              </w:rPr>
              <w:t xml:space="preserve"> 境内已上市的非处方药，</w:t>
            </w:r>
            <w:r w:rsidRPr="00AD24B5">
              <w:rPr>
                <w:rFonts w:ascii="仿宋_GB2312" w:eastAsia="仿宋_GB2312" w:hAnsi="黑体" w:hint="eastAsia"/>
                <w:sz w:val="18"/>
                <w:szCs w:val="18"/>
              </w:rPr>
              <w:t>新</w:t>
            </w:r>
            <w:r w:rsidR="00DA51CF" w:rsidRPr="00AD24B5">
              <w:rPr>
                <w:rFonts w:ascii="仿宋_GB2312" w:eastAsia="仿宋_GB2312" w:hAnsi="黑体" w:hint="eastAsia"/>
                <w:sz w:val="18"/>
                <w:szCs w:val="18"/>
              </w:rPr>
              <w:t>增</w:t>
            </w:r>
            <w:r w:rsidRPr="00AD24B5">
              <w:rPr>
                <w:rFonts w:ascii="仿宋_GB2312" w:eastAsia="仿宋_GB2312" w:hAnsi="黑体" w:hint="eastAsia"/>
                <w:sz w:val="18"/>
                <w:szCs w:val="18"/>
              </w:rPr>
              <w:t>给药途径</w:t>
            </w:r>
          </w:p>
        </w:tc>
        <w:tc>
          <w:tcPr>
            <w:tcW w:w="1364" w:type="dxa"/>
            <w:vAlign w:val="center"/>
          </w:tcPr>
          <w:p w14:paraId="7B109761"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同处方药要求</w:t>
            </w:r>
          </w:p>
        </w:tc>
        <w:tc>
          <w:tcPr>
            <w:tcW w:w="1499" w:type="dxa"/>
            <w:vAlign w:val="center"/>
          </w:tcPr>
          <w:p w14:paraId="468C6A0F"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必要的毒理毒代研究</w:t>
            </w:r>
          </w:p>
        </w:tc>
        <w:tc>
          <w:tcPr>
            <w:tcW w:w="1504" w:type="dxa"/>
            <w:vAlign w:val="center"/>
          </w:tcPr>
          <w:p w14:paraId="13CDAB07"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必要的临床药理学研究</w:t>
            </w:r>
          </w:p>
        </w:tc>
        <w:tc>
          <w:tcPr>
            <w:tcW w:w="1371" w:type="dxa"/>
            <w:vAlign w:val="center"/>
          </w:tcPr>
          <w:p w14:paraId="5426DC65"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必要的疗效验证或确证研究</w:t>
            </w:r>
          </w:p>
        </w:tc>
      </w:tr>
      <w:tr w:rsidR="007C79EC" w:rsidRPr="00AD24B5" w14:paraId="63F93D89" w14:textId="77777777" w:rsidTr="00C95643">
        <w:trPr>
          <w:jc w:val="center"/>
        </w:trPr>
        <w:tc>
          <w:tcPr>
            <w:tcW w:w="1384" w:type="dxa"/>
            <w:vMerge/>
            <w:vAlign w:val="center"/>
          </w:tcPr>
          <w:p w14:paraId="051ADEA1" w14:textId="77777777" w:rsidR="007C79EC" w:rsidRPr="00AD24B5" w:rsidRDefault="007C79EC" w:rsidP="007C79EC">
            <w:pPr>
              <w:spacing w:line="240" w:lineRule="auto"/>
              <w:rPr>
                <w:rFonts w:ascii="仿宋_GB2312" w:eastAsia="仿宋_GB2312" w:hAnsi="黑体"/>
                <w:sz w:val="18"/>
                <w:szCs w:val="18"/>
              </w:rPr>
            </w:pPr>
          </w:p>
        </w:tc>
        <w:tc>
          <w:tcPr>
            <w:tcW w:w="3510" w:type="dxa"/>
            <w:gridSpan w:val="4"/>
            <w:vAlign w:val="center"/>
          </w:tcPr>
          <w:p w14:paraId="72DB8799" w14:textId="4590BFF0"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5.新活性成分</w:t>
            </w:r>
            <w:r w:rsidR="00C95643" w:rsidRPr="00AD24B5">
              <w:rPr>
                <w:rFonts w:ascii="仿宋_GB2312" w:eastAsia="仿宋_GB2312" w:hAnsi="黑体" w:hint="eastAsia"/>
                <w:sz w:val="18"/>
                <w:szCs w:val="18"/>
              </w:rPr>
              <w:t>的非处方药</w:t>
            </w:r>
          </w:p>
        </w:tc>
        <w:tc>
          <w:tcPr>
            <w:tcW w:w="1364" w:type="dxa"/>
            <w:vAlign w:val="center"/>
          </w:tcPr>
          <w:p w14:paraId="6AEDF2DD"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同处方药要求</w:t>
            </w:r>
          </w:p>
        </w:tc>
        <w:tc>
          <w:tcPr>
            <w:tcW w:w="1499" w:type="dxa"/>
            <w:vAlign w:val="center"/>
          </w:tcPr>
          <w:p w14:paraId="458AF2E8"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必要的毒理毒代研究</w:t>
            </w:r>
          </w:p>
        </w:tc>
        <w:tc>
          <w:tcPr>
            <w:tcW w:w="1504" w:type="dxa"/>
            <w:vAlign w:val="center"/>
          </w:tcPr>
          <w:p w14:paraId="7E959A66"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必要的临床药理学研究</w:t>
            </w:r>
          </w:p>
        </w:tc>
        <w:tc>
          <w:tcPr>
            <w:tcW w:w="1371" w:type="dxa"/>
            <w:vAlign w:val="center"/>
          </w:tcPr>
          <w:p w14:paraId="4C513F61" w14:textId="77777777" w:rsidR="007C79EC" w:rsidRPr="00AD24B5" w:rsidRDefault="007C79EC" w:rsidP="007C79EC">
            <w:pPr>
              <w:spacing w:line="240" w:lineRule="auto"/>
              <w:rPr>
                <w:rFonts w:ascii="仿宋_GB2312" w:eastAsia="仿宋_GB2312" w:hAnsi="黑体"/>
                <w:sz w:val="18"/>
                <w:szCs w:val="18"/>
              </w:rPr>
            </w:pPr>
            <w:r w:rsidRPr="00AD24B5">
              <w:rPr>
                <w:rFonts w:ascii="仿宋_GB2312" w:eastAsia="仿宋_GB2312" w:hAnsi="黑体" w:hint="eastAsia"/>
                <w:sz w:val="18"/>
                <w:szCs w:val="18"/>
              </w:rPr>
              <w:t>必要的疗效验证或确证研究</w:t>
            </w:r>
          </w:p>
        </w:tc>
      </w:tr>
    </w:tbl>
    <w:p w14:paraId="2FE50A09" w14:textId="2C8E31DB" w:rsidR="00CA3C5F" w:rsidRPr="00AD24B5" w:rsidRDefault="00F826AB" w:rsidP="00F826AB">
      <w:pPr>
        <w:pStyle w:val="1"/>
        <w:rPr>
          <w:rFonts w:ascii="仿宋_GB2312" w:eastAsia="仿宋_GB2312"/>
          <w:sz w:val="28"/>
        </w:rPr>
      </w:pPr>
      <w:bookmarkStart w:id="8" w:name="_Toc44317889"/>
      <w:r w:rsidRPr="00AD24B5">
        <w:rPr>
          <w:rFonts w:ascii="仿宋_GB2312" w:eastAsia="仿宋_GB2312" w:hint="eastAsia"/>
          <w:sz w:val="28"/>
        </w:rPr>
        <w:t>附则：</w:t>
      </w:r>
      <w:bookmarkEnd w:id="8"/>
    </w:p>
    <w:p w14:paraId="502309A4" w14:textId="77777777" w:rsidR="00F826AB" w:rsidRPr="00AD24B5" w:rsidRDefault="00F826AB" w:rsidP="00F826AB">
      <w:pPr>
        <w:adjustRightInd w:val="0"/>
        <w:snapToGrid w:val="0"/>
        <w:ind w:firstLineChars="200" w:firstLine="560"/>
        <w:rPr>
          <w:rFonts w:ascii="仿宋_GB2312" w:eastAsia="仿宋_GB2312" w:hAnsi="宋体"/>
          <w:sz w:val="28"/>
          <w:szCs w:val="24"/>
        </w:rPr>
      </w:pPr>
      <w:r w:rsidRPr="00AD24B5">
        <w:rPr>
          <w:rFonts w:ascii="仿宋_GB2312" w:eastAsia="仿宋_GB2312" w:hAnsi="宋体" w:hint="eastAsia"/>
          <w:sz w:val="28"/>
          <w:szCs w:val="24"/>
        </w:rPr>
        <w:t>本指导原则由国家药品监督管理局负责解释。</w:t>
      </w:r>
    </w:p>
    <w:p w14:paraId="657370A2" w14:textId="65652446" w:rsidR="00F4667B" w:rsidRPr="00DF6E04" w:rsidRDefault="00F826AB" w:rsidP="00DF6E04">
      <w:pPr>
        <w:adjustRightInd w:val="0"/>
        <w:snapToGrid w:val="0"/>
        <w:ind w:firstLineChars="200" w:firstLine="560"/>
        <w:rPr>
          <w:rFonts w:ascii="仿宋_GB2312" w:eastAsia="仿宋_GB2312" w:hAnsi="宋体" w:hint="eastAsia"/>
          <w:sz w:val="28"/>
          <w:szCs w:val="24"/>
        </w:rPr>
      </w:pPr>
      <w:r w:rsidRPr="00AD24B5">
        <w:rPr>
          <w:rFonts w:ascii="仿宋_GB2312" w:eastAsia="仿宋_GB2312" w:hAnsi="宋体" w:hint="eastAsia"/>
          <w:sz w:val="28"/>
          <w:szCs w:val="24"/>
        </w:rPr>
        <w:t>本指导原则自《药品注册管理办法》实施后执行。</w:t>
      </w:r>
      <w:bookmarkStart w:id="9" w:name="_GoBack"/>
      <w:bookmarkEnd w:id="9"/>
    </w:p>
    <w:sectPr w:rsidR="00F4667B" w:rsidRPr="00DF6E04" w:rsidSect="00564634">
      <w:footerReference w:type="default" r:id="rId9"/>
      <w:pgSz w:w="11906" w:h="16838"/>
      <w:pgMar w:top="1440" w:right="1800" w:bottom="1440" w:left="1800" w:header="851" w:footer="992" w:gutter="0"/>
      <w:lnNumType w:countBy="1" w:restart="continuous"/>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F01E0" w14:textId="77777777" w:rsidR="00512EE1" w:rsidRDefault="00512EE1" w:rsidP="006C6F9C">
      <w:pPr>
        <w:spacing w:line="240" w:lineRule="auto"/>
      </w:pPr>
      <w:r>
        <w:separator/>
      </w:r>
    </w:p>
  </w:endnote>
  <w:endnote w:type="continuationSeparator" w:id="0">
    <w:p w14:paraId="3DAB82B8" w14:textId="77777777" w:rsidR="00512EE1" w:rsidRDefault="00512EE1" w:rsidP="006C6F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76AFC" w14:textId="610DB186" w:rsidR="0089662A" w:rsidRDefault="0089662A">
    <w:pPr>
      <w:pStyle w:val="a3"/>
      <w:jc w:val="center"/>
    </w:pPr>
  </w:p>
  <w:p w14:paraId="09900A7C" w14:textId="77777777" w:rsidR="0089662A" w:rsidRDefault="0089662A">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641467"/>
      <w:docPartObj>
        <w:docPartGallery w:val="Page Numbers (Bottom of Page)"/>
        <w:docPartUnique/>
      </w:docPartObj>
    </w:sdtPr>
    <w:sdtEndPr>
      <w:rPr>
        <w:lang w:val="zh-CN"/>
      </w:rPr>
    </w:sdtEndPr>
    <w:sdtContent>
      <w:sdt>
        <w:sdtPr>
          <w:id w:val="-2033407456"/>
          <w:docPartObj>
            <w:docPartGallery w:val="Page Numbers (Top of Page)"/>
            <w:docPartUnique/>
          </w:docPartObj>
        </w:sdtPr>
        <w:sdtEndPr>
          <w:rPr>
            <w:lang w:val="zh-CN"/>
          </w:rPr>
        </w:sdtEndPr>
        <w:sdtContent>
          <w:p w14:paraId="71E6C707" w14:textId="36427565" w:rsidR="00564634" w:rsidRPr="00012ED6" w:rsidRDefault="00564634">
            <w:pPr>
              <w:pStyle w:val="a3"/>
              <w:jc w:val="center"/>
              <w:rPr>
                <w:lang w:val="zh-CN"/>
              </w:rPr>
            </w:pPr>
            <w:r>
              <w:rPr>
                <w:lang w:val="zh-CN"/>
              </w:rPr>
              <w:t xml:space="preserve"> </w:t>
            </w:r>
            <w:r>
              <w:rPr>
                <w:b/>
                <w:bCs/>
                <w:sz w:val="24"/>
                <w:szCs w:val="24"/>
              </w:rPr>
              <w:fldChar w:fldCharType="begin"/>
            </w:r>
            <w:r>
              <w:rPr>
                <w:b/>
                <w:bCs/>
              </w:rPr>
              <w:instrText>PAGE</w:instrText>
            </w:r>
            <w:r>
              <w:rPr>
                <w:b/>
                <w:bCs/>
                <w:sz w:val="24"/>
                <w:szCs w:val="24"/>
              </w:rPr>
              <w:fldChar w:fldCharType="separate"/>
            </w:r>
            <w:r w:rsidR="00DF6E04">
              <w:rPr>
                <w:b/>
                <w:bCs/>
                <w:noProof/>
              </w:rPr>
              <w:t>5</w:t>
            </w:r>
            <w:r>
              <w:rPr>
                <w:b/>
                <w:bCs/>
                <w:sz w:val="24"/>
                <w:szCs w:val="24"/>
              </w:rPr>
              <w:fldChar w:fldCharType="end"/>
            </w:r>
            <w:r>
              <w:rPr>
                <w:lang w:val="zh-CN"/>
              </w:rPr>
              <w:t xml:space="preserve"> / </w:t>
            </w:r>
            <w:r w:rsidR="00012ED6" w:rsidRPr="00012ED6">
              <w:rPr>
                <w:b/>
                <w:bCs/>
                <w:noProof/>
              </w:rPr>
              <w:t>6</w:t>
            </w:r>
          </w:p>
        </w:sdtContent>
      </w:sdt>
    </w:sdtContent>
  </w:sdt>
  <w:p w14:paraId="3D6E4F6E" w14:textId="77777777" w:rsidR="00564634" w:rsidRDefault="0056463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B59E0" w14:textId="77777777" w:rsidR="00512EE1" w:rsidRDefault="00512EE1" w:rsidP="006C6F9C">
      <w:pPr>
        <w:spacing w:line="240" w:lineRule="auto"/>
      </w:pPr>
      <w:r>
        <w:separator/>
      </w:r>
    </w:p>
  </w:footnote>
  <w:footnote w:type="continuationSeparator" w:id="0">
    <w:p w14:paraId="1D54F0CA" w14:textId="77777777" w:rsidR="00512EE1" w:rsidRDefault="00512EE1" w:rsidP="006C6F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3D6"/>
    <w:multiLevelType w:val="hybridMultilevel"/>
    <w:tmpl w:val="4634C8B8"/>
    <w:lvl w:ilvl="0" w:tplc="F6C6C042">
      <w:start w:val="1"/>
      <w:numFmt w:val="japaneseCounting"/>
      <w:lvlText w:val="%1、"/>
      <w:lvlJc w:val="left"/>
      <w:pPr>
        <w:ind w:left="744" w:hanging="744"/>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ED76D5"/>
    <w:multiLevelType w:val="hybridMultilevel"/>
    <w:tmpl w:val="A192D2C4"/>
    <w:lvl w:ilvl="0" w:tplc="95AEA320">
      <w:start w:val="1"/>
      <w:numFmt w:val="japaneseCounting"/>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73C4450"/>
    <w:multiLevelType w:val="hybridMultilevel"/>
    <w:tmpl w:val="0916EA4C"/>
    <w:lvl w:ilvl="0" w:tplc="F2BC9E80">
      <w:start w:val="1"/>
      <w:numFmt w:val="decimal"/>
      <w:lvlText w:val="%1、"/>
      <w:lvlJc w:val="left"/>
      <w:pPr>
        <w:ind w:left="1335" w:hanging="855"/>
      </w:pPr>
      <w:rPr>
        <w:rFonts w:ascii="仿宋_GB2312" w:eastAsia="仿宋_GB2312" w:hAnsi="仿宋"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B88"/>
    <w:rsid w:val="00004FC0"/>
    <w:rsid w:val="00010391"/>
    <w:rsid w:val="00011CC2"/>
    <w:rsid w:val="00011F94"/>
    <w:rsid w:val="00012C83"/>
    <w:rsid w:val="00012ED6"/>
    <w:rsid w:val="000141D9"/>
    <w:rsid w:val="00023950"/>
    <w:rsid w:val="00025F1E"/>
    <w:rsid w:val="00026459"/>
    <w:rsid w:val="00026983"/>
    <w:rsid w:val="00033036"/>
    <w:rsid w:val="00035FD4"/>
    <w:rsid w:val="00043559"/>
    <w:rsid w:val="00050773"/>
    <w:rsid w:val="00051CC2"/>
    <w:rsid w:val="00051EA1"/>
    <w:rsid w:val="000538EA"/>
    <w:rsid w:val="00053AC5"/>
    <w:rsid w:val="00056ABA"/>
    <w:rsid w:val="00057968"/>
    <w:rsid w:val="00063434"/>
    <w:rsid w:val="00071750"/>
    <w:rsid w:val="000717E7"/>
    <w:rsid w:val="00071A4B"/>
    <w:rsid w:val="00076D8E"/>
    <w:rsid w:val="00081235"/>
    <w:rsid w:val="00081984"/>
    <w:rsid w:val="00084D6A"/>
    <w:rsid w:val="000875EA"/>
    <w:rsid w:val="00096427"/>
    <w:rsid w:val="000A2307"/>
    <w:rsid w:val="000A2EF5"/>
    <w:rsid w:val="000A7BC0"/>
    <w:rsid w:val="000B02D0"/>
    <w:rsid w:val="000B5303"/>
    <w:rsid w:val="000B6CB5"/>
    <w:rsid w:val="000B7CD0"/>
    <w:rsid w:val="000C49A9"/>
    <w:rsid w:val="000C6467"/>
    <w:rsid w:val="000C6E44"/>
    <w:rsid w:val="000D6907"/>
    <w:rsid w:val="000E4E62"/>
    <w:rsid w:val="000F5533"/>
    <w:rsid w:val="000F564B"/>
    <w:rsid w:val="000F6551"/>
    <w:rsid w:val="000F6F9E"/>
    <w:rsid w:val="00104DB3"/>
    <w:rsid w:val="00105F3E"/>
    <w:rsid w:val="0010768C"/>
    <w:rsid w:val="00113867"/>
    <w:rsid w:val="001144B4"/>
    <w:rsid w:val="001161A1"/>
    <w:rsid w:val="0012021D"/>
    <w:rsid w:val="0012167B"/>
    <w:rsid w:val="00123E75"/>
    <w:rsid w:val="00125B6B"/>
    <w:rsid w:val="001319A3"/>
    <w:rsid w:val="00134B6B"/>
    <w:rsid w:val="00143EB8"/>
    <w:rsid w:val="001447B8"/>
    <w:rsid w:val="0014612D"/>
    <w:rsid w:val="00150D93"/>
    <w:rsid w:val="00155193"/>
    <w:rsid w:val="00163517"/>
    <w:rsid w:val="00163711"/>
    <w:rsid w:val="00164787"/>
    <w:rsid w:val="0016696D"/>
    <w:rsid w:val="00166D85"/>
    <w:rsid w:val="001707D1"/>
    <w:rsid w:val="00181055"/>
    <w:rsid w:val="001819C9"/>
    <w:rsid w:val="00181D57"/>
    <w:rsid w:val="00185210"/>
    <w:rsid w:val="0018529A"/>
    <w:rsid w:val="001A131F"/>
    <w:rsid w:val="001A1A90"/>
    <w:rsid w:val="001A2115"/>
    <w:rsid w:val="001A3982"/>
    <w:rsid w:val="001A7D7C"/>
    <w:rsid w:val="001B17AA"/>
    <w:rsid w:val="001B3FEA"/>
    <w:rsid w:val="001C25CC"/>
    <w:rsid w:val="001C4AE0"/>
    <w:rsid w:val="001D07D7"/>
    <w:rsid w:val="001D12A3"/>
    <w:rsid w:val="001D14AE"/>
    <w:rsid w:val="001E16A4"/>
    <w:rsid w:val="001E235C"/>
    <w:rsid w:val="001E3C85"/>
    <w:rsid w:val="001E4AE2"/>
    <w:rsid w:val="001E5D8B"/>
    <w:rsid w:val="00201DDA"/>
    <w:rsid w:val="00207986"/>
    <w:rsid w:val="00213AFA"/>
    <w:rsid w:val="00213C54"/>
    <w:rsid w:val="00216F2C"/>
    <w:rsid w:val="00222159"/>
    <w:rsid w:val="002227D6"/>
    <w:rsid w:val="00226C7D"/>
    <w:rsid w:val="002323F3"/>
    <w:rsid w:val="00240567"/>
    <w:rsid w:val="00246851"/>
    <w:rsid w:val="00250EE8"/>
    <w:rsid w:val="00251489"/>
    <w:rsid w:val="002548D4"/>
    <w:rsid w:val="00255411"/>
    <w:rsid w:val="002560EC"/>
    <w:rsid w:val="00257A35"/>
    <w:rsid w:val="00261E4B"/>
    <w:rsid w:val="002731A0"/>
    <w:rsid w:val="00277A5B"/>
    <w:rsid w:val="002906D4"/>
    <w:rsid w:val="002907EB"/>
    <w:rsid w:val="00290F75"/>
    <w:rsid w:val="002929DC"/>
    <w:rsid w:val="00292EC3"/>
    <w:rsid w:val="002A0640"/>
    <w:rsid w:val="002A1EC4"/>
    <w:rsid w:val="002A39F3"/>
    <w:rsid w:val="002A3E33"/>
    <w:rsid w:val="002B26C0"/>
    <w:rsid w:val="002B2A57"/>
    <w:rsid w:val="002B2D41"/>
    <w:rsid w:val="002B4AF6"/>
    <w:rsid w:val="002B4EF8"/>
    <w:rsid w:val="002B5935"/>
    <w:rsid w:val="002C33F8"/>
    <w:rsid w:val="002C3A2D"/>
    <w:rsid w:val="002C4846"/>
    <w:rsid w:val="002C4EF8"/>
    <w:rsid w:val="002E01C0"/>
    <w:rsid w:val="002E1408"/>
    <w:rsid w:val="002E4410"/>
    <w:rsid w:val="002F06E7"/>
    <w:rsid w:val="002F5A7A"/>
    <w:rsid w:val="002F6D63"/>
    <w:rsid w:val="002F7B59"/>
    <w:rsid w:val="0030053F"/>
    <w:rsid w:val="003046D2"/>
    <w:rsid w:val="00306492"/>
    <w:rsid w:val="003120AB"/>
    <w:rsid w:val="00320927"/>
    <w:rsid w:val="003247CB"/>
    <w:rsid w:val="003265F6"/>
    <w:rsid w:val="0033223F"/>
    <w:rsid w:val="00336420"/>
    <w:rsid w:val="00337A1F"/>
    <w:rsid w:val="0034007F"/>
    <w:rsid w:val="00341142"/>
    <w:rsid w:val="00343978"/>
    <w:rsid w:val="00344ECC"/>
    <w:rsid w:val="00347123"/>
    <w:rsid w:val="003506AD"/>
    <w:rsid w:val="00350C06"/>
    <w:rsid w:val="003523A5"/>
    <w:rsid w:val="0035246E"/>
    <w:rsid w:val="003546E6"/>
    <w:rsid w:val="00354766"/>
    <w:rsid w:val="0035737D"/>
    <w:rsid w:val="0035752D"/>
    <w:rsid w:val="003614CA"/>
    <w:rsid w:val="00361DE8"/>
    <w:rsid w:val="00362692"/>
    <w:rsid w:val="0036269D"/>
    <w:rsid w:val="00362F2D"/>
    <w:rsid w:val="00365DF7"/>
    <w:rsid w:val="00367BF5"/>
    <w:rsid w:val="00367C87"/>
    <w:rsid w:val="0037156B"/>
    <w:rsid w:val="00373C45"/>
    <w:rsid w:val="00374D42"/>
    <w:rsid w:val="003761BF"/>
    <w:rsid w:val="00376479"/>
    <w:rsid w:val="00381D51"/>
    <w:rsid w:val="00382261"/>
    <w:rsid w:val="00383E6A"/>
    <w:rsid w:val="00386FD2"/>
    <w:rsid w:val="0039235B"/>
    <w:rsid w:val="003A0C7C"/>
    <w:rsid w:val="003A4EF5"/>
    <w:rsid w:val="003B13DC"/>
    <w:rsid w:val="003B1CBE"/>
    <w:rsid w:val="003B5B90"/>
    <w:rsid w:val="003B6394"/>
    <w:rsid w:val="003D1411"/>
    <w:rsid w:val="003D51F2"/>
    <w:rsid w:val="003E46FF"/>
    <w:rsid w:val="003E75C2"/>
    <w:rsid w:val="003F2307"/>
    <w:rsid w:val="003F4495"/>
    <w:rsid w:val="00401C3A"/>
    <w:rsid w:val="00402FB7"/>
    <w:rsid w:val="00404194"/>
    <w:rsid w:val="00407ECA"/>
    <w:rsid w:val="0041059C"/>
    <w:rsid w:val="00410C2A"/>
    <w:rsid w:val="00414889"/>
    <w:rsid w:val="004175BD"/>
    <w:rsid w:val="00422872"/>
    <w:rsid w:val="00430AA5"/>
    <w:rsid w:val="0043457F"/>
    <w:rsid w:val="00446E1F"/>
    <w:rsid w:val="0044781A"/>
    <w:rsid w:val="00447CBF"/>
    <w:rsid w:val="00447D08"/>
    <w:rsid w:val="00455168"/>
    <w:rsid w:val="0045703C"/>
    <w:rsid w:val="00457E45"/>
    <w:rsid w:val="00460AEE"/>
    <w:rsid w:val="00462F85"/>
    <w:rsid w:val="0046313F"/>
    <w:rsid w:val="004642F2"/>
    <w:rsid w:val="004667F3"/>
    <w:rsid w:val="0046688D"/>
    <w:rsid w:val="00470C3D"/>
    <w:rsid w:val="00474275"/>
    <w:rsid w:val="004753F9"/>
    <w:rsid w:val="00476ED8"/>
    <w:rsid w:val="004772C9"/>
    <w:rsid w:val="00480173"/>
    <w:rsid w:val="004805EE"/>
    <w:rsid w:val="00480E8B"/>
    <w:rsid w:val="0048288D"/>
    <w:rsid w:val="004829AF"/>
    <w:rsid w:val="00483A1F"/>
    <w:rsid w:val="0049219A"/>
    <w:rsid w:val="00493C8F"/>
    <w:rsid w:val="00494E01"/>
    <w:rsid w:val="0049671E"/>
    <w:rsid w:val="004A11AE"/>
    <w:rsid w:val="004A7922"/>
    <w:rsid w:val="004B0743"/>
    <w:rsid w:val="004B287E"/>
    <w:rsid w:val="004B4F61"/>
    <w:rsid w:val="004B5CEF"/>
    <w:rsid w:val="004B781A"/>
    <w:rsid w:val="004C1D28"/>
    <w:rsid w:val="004D076D"/>
    <w:rsid w:val="004D3612"/>
    <w:rsid w:val="004D43CC"/>
    <w:rsid w:val="004D4E2C"/>
    <w:rsid w:val="004E298A"/>
    <w:rsid w:val="004F4162"/>
    <w:rsid w:val="004F7139"/>
    <w:rsid w:val="00502024"/>
    <w:rsid w:val="005023E0"/>
    <w:rsid w:val="00502734"/>
    <w:rsid w:val="00503C35"/>
    <w:rsid w:val="00504D3A"/>
    <w:rsid w:val="00512407"/>
    <w:rsid w:val="00512EE1"/>
    <w:rsid w:val="0051432B"/>
    <w:rsid w:val="00515C2C"/>
    <w:rsid w:val="00515F68"/>
    <w:rsid w:val="00516444"/>
    <w:rsid w:val="00516660"/>
    <w:rsid w:val="00516B42"/>
    <w:rsid w:val="00520F2E"/>
    <w:rsid w:val="00524E23"/>
    <w:rsid w:val="00533BB1"/>
    <w:rsid w:val="00534188"/>
    <w:rsid w:val="0053603C"/>
    <w:rsid w:val="00540CC8"/>
    <w:rsid w:val="00552054"/>
    <w:rsid w:val="00553497"/>
    <w:rsid w:val="0055392D"/>
    <w:rsid w:val="00556C4F"/>
    <w:rsid w:val="00557052"/>
    <w:rsid w:val="005570A7"/>
    <w:rsid w:val="0056161D"/>
    <w:rsid w:val="00561667"/>
    <w:rsid w:val="00561C28"/>
    <w:rsid w:val="00562165"/>
    <w:rsid w:val="00564634"/>
    <w:rsid w:val="0056482F"/>
    <w:rsid w:val="00570DEC"/>
    <w:rsid w:val="0057301C"/>
    <w:rsid w:val="005761B0"/>
    <w:rsid w:val="005762F1"/>
    <w:rsid w:val="005A0EAC"/>
    <w:rsid w:val="005A3CE5"/>
    <w:rsid w:val="005A41BC"/>
    <w:rsid w:val="005A5E7B"/>
    <w:rsid w:val="005B1A80"/>
    <w:rsid w:val="005B1DED"/>
    <w:rsid w:val="005B4503"/>
    <w:rsid w:val="005B4A45"/>
    <w:rsid w:val="005B5F4F"/>
    <w:rsid w:val="005B67E9"/>
    <w:rsid w:val="005B6BF0"/>
    <w:rsid w:val="005C00D7"/>
    <w:rsid w:val="005C2D3C"/>
    <w:rsid w:val="005C30D3"/>
    <w:rsid w:val="005C44BA"/>
    <w:rsid w:val="005C5FBB"/>
    <w:rsid w:val="005D1C6A"/>
    <w:rsid w:val="005D3B37"/>
    <w:rsid w:val="005D5373"/>
    <w:rsid w:val="005D7543"/>
    <w:rsid w:val="005E396E"/>
    <w:rsid w:val="005E6F64"/>
    <w:rsid w:val="005E729A"/>
    <w:rsid w:val="005E7940"/>
    <w:rsid w:val="005E7956"/>
    <w:rsid w:val="005F1820"/>
    <w:rsid w:val="00601E3B"/>
    <w:rsid w:val="00602C7B"/>
    <w:rsid w:val="00603341"/>
    <w:rsid w:val="00603A97"/>
    <w:rsid w:val="006110E3"/>
    <w:rsid w:val="00611204"/>
    <w:rsid w:val="00612013"/>
    <w:rsid w:val="006152D4"/>
    <w:rsid w:val="006152F6"/>
    <w:rsid w:val="00615F2A"/>
    <w:rsid w:val="00617089"/>
    <w:rsid w:val="0061759C"/>
    <w:rsid w:val="0062142C"/>
    <w:rsid w:val="006218A5"/>
    <w:rsid w:val="00627A55"/>
    <w:rsid w:val="00636A06"/>
    <w:rsid w:val="00637F01"/>
    <w:rsid w:val="00642AFB"/>
    <w:rsid w:val="00643ADE"/>
    <w:rsid w:val="00644873"/>
    <w:rsid w:val="006458B3"/>
    <w:rsid w:val="006463DA"/>
    <w:rsid w:val="00646D96"/>
    <w:rsid w:val="0064766D"/>
    <w:rsid w:val="00650700"/>
    <w:rsid w:val="00651514"/>
    <w:rsid w:val="00652729"/>
    <w:rsid w:val="006547BA"/>
    <w:rsid w:val="00657202"/>
    <w:rsid w:val="006576DE"/>
    <w:rsid w:val="00657F94"/>
    <w:rsid w:val="00660217"/>
    <w:rsid w:val="00663AC5"/>
    <w:rsid w:val="006713AA"/>
    <w:rsid w:val="006727B1"/>
    <w:rsid w:val="00673206"/>
    <w:rsid w:val="00673D47"/>
    <w:rsid w:val="00674988"/>
    <w:rsid w:val="006763AE"/>
    <w:rsid w:val="00687674"/>
    <w:rsid w:val="00691065"/>
    <w:rsid w:val="00691B3A"/>
    <w:rsid w:val="0069703D"/>
    <w:rsid w:val="006A0089"/>
    <w:rsid w:val="006A18AC"/>
    <w:rsid w:val="006A2664"/>
    <w:rsid w:val="006A3BC0"/>
    <w:rsid w:val="006A45EF"/>
    <w:rsid w:val="006A4839"/>
    <w:rsid w:val="006A4AB5"/>
    <w:rsid w:val="006A7FCA"/>
    <w:rsid w:val="006B13D1"/>
    <w:rsid w:val="006B6E75"/>
    <w:rsid w:val="006C02BF"/>
    <w:rsid w:val="006C307C"/>
    <w:rsid w:val="006C5833"/>
    <w:rsid w:val="006C6F9C"/>
    <w:rsid w:val="006D038A"/>
    <w:rsid w:val="006D1A79"/>
    <w:rsid w:val="006D3CA3"/>
    <w:rsid w:val="006D78D0"/>
    <w:rsid w:val="006E18CF"/>
    <w:rsid w:val="006E20D2"/>
    <w:rsid w:val="006E288C"/>
    <w:rsid w:val="006E540F"/>
    <w:rsid w:val="006E637F"/>
    <w:rsid w:val="006E67C8"/>
    <w:rsid w:val="006F4D5D"/>
    <w:rsid w:val="006F6C23"/>
    <w:rsid w:val="006F6FC9"/>
    <w:rsid w:val="006F7339"/>
    <w:rsid w:val="006F75A0"/>
    <w:rsid w:val="007000FD"/>
    <w:rsid w:val="00707C56"/>
    <w:rsid w:val="00717E0A"/>
    <w:rsid w:val="00721D84"/>
    <w:rsid w:val="00732A94"/>
    <w:rsid w:val="00733E9D"/>
    <w:rsid w:val="00734E37"/>
    <w:rsid w:val="00735043"/>
    <w:rsid w:val="007361EC"/>
    <w:rsid w:val="00736BC8"/>
    <w:rsid w:val="0074061C"/>
    <w:rsid w:val="00742290"/>
    <w:rsid w:val="00747434"/>
    <w:rsid w:val="00750BD5"/>
    <w:rsid w:val="00751304"/>
    <w:rsid w:val="00755978"/>
    <w:rsid w:val="00761CD6"/>
    <w:rsid w:val="00761F88"/>
    <w:rsid w:val="00773020"/>
    <w:rsid w:val="007732B8"/>
    <w:rsid w:val="00773502"/>
    <w:rsid w:val="00775740"/>
    <w:rsid w:val="00780AFA"/>
    <w:rsid w:val="00782AFD"/>
    <w:rsid w:val="007834FD"/>
    <w:rsid w:val="00785CD1"/>
    <w:rsid w:val="0079402C"/>
    <w:rsid w:val="00797D76"/>
    <w:rsid w:val="007A2F92"/>
    <w:rsid w:val="007A31AA"/>
    <w:rsid w:val="007A661A"/>
    <w:rsid w:val="007B1EE0"/>
    <w:rsid w:val="007B40CC"/>
    <w:rsid w:val="007B4CCB"/>
    <w:rsid w:val="007B65CA"/>
    <w:rsid w:val="007B6D29"/>
    <w:rsid w:val="007C000C"/>
    <w:rsid w:val="007C43FA"/>
    <w:rsid w:val="007C79EC"/>
    <w:rsid w:val="007D0D18"/>
    <w:rsid w:val="007D123D"/>
    <w:rsid w:val="007D18D3"/>
    <w:rsid w:val="007D6E9F"/>
    <w:rsid w:val="007E3AB8"/>
    <w:rsid w:val="007F00F1"/>
    <w:rsid w:val="007F2E69"/>
    <w:rsid w:val="007F41AD"/>
    <w:rsid w:val="007F5B17"/>
    <w:rsid w:val="0080017E"/>
    <w:rsid w:val="00802254"/>
    <w:rsid w:val="00807FAC"/>
    <w:rsid w:val="00825C82"/>
    <w:rsid w:val="00827525"/>
    <w:rsid w:val="00834156"/>
    <w:rsid w:val="008342E5"/>
    <w:rsid w:val="0083468E"/>
    <w:rsid w:val="008356A2"/>
    <w:rsid w:val="00835A23"/>
    <w:rsid w:val="00835B84"/>
    <w:rsid w:val="008405AA"/>
    <w:rsid w:val="00842754"/>
    <w:rsid w:val="00844059"/>
    <w:rsid w:val="00850B0D"/>
    <w:rsid w:val="0085101A"/>
    <w:rsid w:val="00853AB9"/>
    <w:rsid w:val="00853EF0"/>
    <w:rsid w:val="0086285B"/>
    <w:rsid w:val="00873519"/>
    <w:rsid w:val="0087355F"/>
    <w:rsid w:val="00873CAA"/>
    <w:rsid w:val="0087621F"/>
    <w:rsid w:val="00876E3F"/>
    <w:rsid w:val="008777B3"/>
    <w:rsid w:val="00880910"/>
    <w:rsid w:val="00882DB7"/>
    <w:rsid w:val="00883ADB"/>
    <w:rsid w:val="0088527B"/>
    <w:rsid w:val="008930A4"/>
    <w:rsid w:val="008933FF"/>
    <w:rsid w:val="0089662A"/>
    <w:rsid w:val="008A22C7"/>
    <w:rsid w:val="008A5C44"/>
    <w:rsid w:val="008B43AD"/>
    <w:rsid w:val="008B4C60"/>
    <w:rsid w:val="008C1BE5"/>
    <w:rsid w:val="008C2FAC"/>
    <w:rsid w:val="008D086E"/>
    <w:rsid w:val="008D2A79"/>
    <w:rsid w:val="008D3864"/>
    <w:rsid w:val="008D424F"/>
    <w:rsid w:val="008D5073"/>
    <w:rsid w:val="008D5803"/>
    <w:rsid w:val="008E14B2"/>
    <w:rsid w:val="008E1943"/>
    <w:rsid w:val="008E2429"/>
    <w:rsid w:val="008E2FD7"/>
    <w:rsid w:val="008E52BD"/>
    <w:rsid w:val="008F079A"/>
    <w:rsid w:val="008F59CA"/>
    <w:rsid w:val="008F728B"/>
    <w:rsid w:val="00901EBE"/>
    <w:rsid w:val="00906D22"/>
    <w:rsid w:val="00913C7B"/>
    <w:rsid w:val="00921107"/>
    <w:rsid w:val="00926890"/>
    <w:rsid w:val="00927CB2"/>
    <w:rsid w:val="0094108E"/>
    <w:rsid w:val="0094158B"/>
    <w:rsid w:val="00942125"/>
    <w:rsid w:val="0094508D"/>
    <w:rsid w:val="0095165E"/>
    <w:rsid w:val="009570E0"/>
    <w:rsid w:val="0096095F"/>
    <w:rsid w:val="009730F1"/>
    <w:rsid w:val="0097317A"/>
    <w:rsid w:val="009743D4"/>
    <w:rsid w:val="009802DB"/>
    <w:rsid w:val="00981B88"/>
    <w:rsid w:val="00986959"/>
    <w:rsid w:val="00991BE0"/>
    <w:rsid w:val="009958FF"/>
    <w:rsid w:val="009A4D14"/>
    <w:rsid w:val="009A511C"/>
    <w:rsid w:val="009B6D9D"/>
    <w:rsid w:val="009C02ED"/>
    <w:rsid w:val="009C57F9"/>
    <w:rsid w:val="009C67B5"/>
    <w:rsid w:val="009C6E9E"/>
    <w:rsid w:val="009D0C6C"/>
    <w:rsid w:val="009D2178"/>
    <w:rsid w:val="009D2F23"/>
    <w:rsid w:val="009E2A92"/>
    <w:rsid w:val="009E35EC"/>
    <w:rsid w:val="009E5864"/>
    <w:rsid w:val="009F5810"/>
    <w:rsid w:val="009F5D73"/>
    <w:rsid w:val="00A01F4E"/>
    <w:rsid w:val="00A02F13"/>
    <w:rsid w:val="00A10E2E"/>
    <w:rsid w:val="00A15870"/>
    <w:rsid w:val="00A20095"/>
    <w:rsid w:val="00A223CB"/>
    <w:rsid w:val="00A26308"/>
    <w:rsid w:val="00A3336A"/>
    <w:rsid w:val="00A3501A"/>
    <w:rsid w:val="00A37CEC"/>
    <w:rsid w:val="00A4101F"/>
    <w:rsid w:val="00A44896"/>
    <w:rsid w:val="00A454C5"/>
    <w:rsid w:val="00A45FD5"/>
    <w:rsid w:val="00A501D9"/>
    <w:rsid w:val="00A5456F"/>
    <w:rsid w:val="00A54C51"/>
    <w:rsid w:val="00A54DD7"/>
    <w:rsid w:val="00A605A4"/>
    <w:rsid w:val="00A62283"/>
    <w:rsid w:val="00A64BA8"/>
    <w:rsid w:val="00A700E8"/>
    <w:rsid w:val="00A72095"/>
    <w:rsid w:val="00A737EB"/>
    <w:rsid w:val="00A753C9"/>
    <w:rsid w:val="00A77680"/>
    <w:rsid w:val="00A819FD"/>
    <w:rsid w:val="00A87C7B"/>
    <w:rsid w:val="00A910B5"/>
    <w:rsid w:val="00A96813"/>
    <w:rsid w:val="00AA105F"/>
    <w:rsid w:val="00AA1AFB"/>
    <w:rsid w:val="00AA26F8"/>
    <w:rsid w:val="00AA328F"/>
    <w:rsid w:val="00AB3C27"/>
    <w:rsid w:val="00AC0707"/>
    <w:rsid w:val="00AC0887"/>
    <w:rsid w:val="00AC153A"/>
    <w:rsid w:val="00AC5702"/>
    <w:rsid w:val="00AD0DE8"/>
    <w:rsid w:val="00AD1E1A"/>
    <w:rsid w:val="00AD24B5"/>
    <w:rsid w:val="00AD4728"/>
    <w:rsid w:val="00AD7D0A"/>
    <w:rsid w:val="00AE0BDF"/>
    <w:rsid w:val="00AE3DF6"/>
    <w:rsid w:val="00AE6F8D"/>
    <w:rsid w:val="00AE72AC"/>
    <w:rsid w:val="00AE7596"/>
    <w:rsid w:val="00AF2BFC"/>
    <w:rsid w:val="00AF3D59"/>
    <w:rsid w:val="00AF4F9F"/>
    <w:rsid w:val="00AF6948"/>
    <w:rsid w:val="00B026D5"/>
    <w:rsid w:val="00B02FE6"/>
    <w:rsid w:val="00B045B5"/>
    <w:rsid w:val="00B052BB"/>
    <w:rsid w:val="00B06A3C"/>
    <w:rsid w:val="00B1486F"/>
    <w:rsid w:val="00B15344"/>
    <w:rsid w:val="00B161EC"/>
    <w:rsid w:val="00B16672"/>
    <w:rsid w:val="00B1770E"/>
    <w:rsid w:val="00B21F25"/>
    <w:rsid w:val="00B25570"/>
    <w:rsid w:val="00B2637C"/>
    <w:rsid w:val="00B2768A"/>
    <w:rsid w:val="00B31FB9"/>
    <w:rsid w:val="00B32C11"/>
    <w:rsid w:val="00B3678F"/>
    <w:rsid w:val="00B4582B"/>
    <w:rsid w:val="00B55769"/>
    <w:rsid w:val="00B619B3"/>
    <w:rsid w:val="00B64154"/>
    <w:rsid w:val="00B6638E"/>
    <w:rsid w:val="00B7001D"/>
    <w:rsid w:val="00B71C20"/>
    <w:rsid w:val="00B73E6C"/>
    <w:rsid w:val="00B7768B"/>
    <w:rsid w:val="00B776BA"/>
    <w:rsid w:val="00B8135C"/>
    <w:rsid w:val="00B865FC"/>
    <w:rsid w:val="00B907DB"/>
    <w:rsid w:val="00B910BA"/>
    <w:rsid w:val="00B938FC"/>
    <w:rsid w:val="00B9791F"/>
    <w:rsid w:val="00BA0FD9"/>
    <w:rsid w:val="00BA4132"/>
    <w:rsid w:val="00BA5C87"/>
    <w:rsid w:val="00BA6854"/>
    <w:rsid w:val="00BB0D49"/>
    <w:rsid w:val="00BB21A7"/>
    <w:rsid w:val="00BC60C5"/>
    <w:rsid w:val="00BD02C2"/>
    <w:rsid w:val="00BD3E38"/>
    <w:rsid w:val="00BD41D7"/>
    <w:rsid w:val="00BD5D62"/>
    <w:rsid w:val="00BD5DA1"/>
    <w:rsid w:val="00BE4598"/>
    <w:rsid w:val="00BE5210"/>
    <w:rsid w:val="00BE5411"/>
    <w:rsid w:val="00BE5F31"/>
    <w:rsid w:val="00BF325A"/>
    <w:rsid w:val="00BF43D2"/>
    <w:rsid w:val="00C022BE"/>
    <w:rsid w:val="00C02423"/>
    <w:rsid w:val="00C02817"/>
    <w:rsid w:val="00C0285A"/>
    <w:rsid w:val="00C0476A"/>
    <w:rsid w:val="00C0581D"/>
    <w:rsid w:val="00C0725F"/>
    <w:rsid w:val="00C13DB5"/>
    <w:rsid w:val="00C16BA3"/>
    <w:rsid w:val="00C16EF9"/>
    <w:rsid w:val="00C17A57"/>
    <w:rsid w:val="00C17CD7"/>
    <w:rsid w:val="00C20A5B"/>
    <w:rsid w:val="00C213DD"/>
    <w:rsid w:val="00C21C2F"/>
    <w:rsid w:val="00C30C32"/>
    <w:rsid w:val="00C30F6C"/>
    <w:rsid w:val="00C32A34"/>
    <w:rsid w:val="00C33771"/>
    <w:rsid w:val="00C33EC1"/>
    <w:rsid w:val="00C34E42"/>
    <w:rsid w:val="00C36DA7"/>
    <w:rsid w:val="00C3700E"/>
    <w:rsid w:val="00C37068"/>
    <w:rsid w:val="00C379C4"/>
    <w:rsid w:val="00C42ECD"/>
    <w:rsid w:val="00C43FF9"/>
    <w:rsid w:val="00C46764"/>
    <w:rsid w:val="00C476E5"/>
    <w:rsid w:val="00C569B4"/>
    <w:rsid w:val="00C63235"/>
    <w:rsid w:val="00C63AF3"/>
    <w:rsid w:val="00C704D3"/>
    <w:rsid w:val="00C705CD"/>
    <w:rsid w:val="00C708CA"/>
    <w:rsid w:val="00C73340"/>
    <w:rsid w:val="00C772C6"/>
    <w:rsid w:val="00C778A1"/>
    <w:rsid w:val="00C77E9A"/>
    <w:rsid w:val="00C83705"/>
    <w:rsid w:val="00C86619"/>
    <w:rsid w:val="00C86DE8"/>
    <w:rsid w:val="00C86E4D"/>
    <w:rsid w:val="00C9016B"/>
    <w:rsid w:val="00C90A0A"/>
    <w:rsid w:val="00C91A29"/>
    <w:rsid w:val="00C9459C"/>
    <w:rsid w:val="00C95643"/>
    <w:rsid w:val="00CA0011"/>
    <w:rsid w:val="00CA3985"/>
    <w:rsid w:val="00CA3C5F"/>
    <w:rsid w:val="00CA4E27"/>
    <w:rsid w:val="00CB1024"/>
    <w:rsid w:val="00CB168D"/>
    <w:rsid w:val="00CB6824"/>
    <w:rsid w:val="00CC2368"/>
    <w:rsid w:val="00CC32D3"/>
    <w:rsid w:val="00CC4607"/>
    <w:rsid w:val="00CC72E5"/>
    <w:rsid w:val="00CC76FE"/>
    <w:rsid w:val="00CD2903"/>
    <w:rsid w:val="00CD487B"/>
    <w:rsid w:val="00CD5034"/>
    <w:rsid w:val="00CD7F39"/>
    <w:rsid w:val="00CE0CAE"/>
    <w:rsid w:val="00CE295A"/>
    <w:rsid w:val="00CE2C69"/>
    <w:rsid w:val="00CE51A1"/>
    <w:rsid w:val="00CE6B7B"/>
    <w:rsid w:val="00CF7993"/>
    <w:rsid w:val="00D10A81"/>
    <w:rsid w:val="00D10CC3"/>
    <w:rsid w:val="00D11F2D"/>
    <w:rsid w:val="00D1208A"/>
    <w:rsid w:val="00D1331C"/>
    <w:rsid w:val="00D21A30"/>
    <w:rsid w:val="00D23515"/>
    <w:rsid w:val="00D31BD1"/>
    <w:rsid w:val="00D31D3A"/>
    <w:rsid w:val="00D37070"/>
    <w:rsid w:val="00D45863"/>
    <w:rsid w:val="00D46F85"/>
    <w:rsid w:val="00D5218A"/>
    <w:rsid w:val="00D559FC"/>
    <w:rsid w:val="00D57616"/>
    <w:rsid w:val="00D6091F"/>
    <w:rsid w:val="00D62418"/>
    <w:rsid w:val="00D6322D"/>
    <w:rsid w:val="00D6342A"/>
    <w:rsid w:val="00D64100"/>
    <w:rsid w:val="00D65F29"/>
    <w:rsid w:val="00D72B9F"/>
    <w:rsid w:val="00D7720F"/>
    <w:rsid w:val="00D772E3"/>
    <w:rsid w:val="00D83807"/>
    <w:rsid w:val="00D8387A"/>
    <w:rsid w:val="00D910A8"/>
    <w:rsid w:val="00D9135C"/>
    <w:rsid w:val="00D93758"/>
    <w:rsid w:val="00DA07E2"/>
    <w:rsid w:val="00DA18D4"/>
    <w:rsid w:val="00DA51CF"/>
    <w:rsid w:val="00DA6B32"/>
    <w:rsid w:val="00DA7DD7"/>
    <w:rsid w:val="00DB14F9"/>
    <w:rsid w:val="00DB4B71"/>
    <w:rsid w:val="00DB6D2B"/>
    <w:rsid w:val="00DC37DE"/>
    <w:rsid w:val="00DC485A"/>
    <w:rsid w:val="00DE25C5"/>
    <w:rsid w:val="00DE7CC1"/>
    <w:rsid w:val="00DF16D8"/>
    <w:rsid w:val="00DF67C2"/>
    <w:rsid w:val="00DF6E04"/>
    <w:rsid w:val="00E07595"/>
    <w:rsid w:val="00E21451"/>
    <w:rsid w:val="00E24651"/>
    <w:rsid w:val="00E264F8"/>
    <w:rsid w:val="00E26876"/>
    <w:rsid w:val="00E35AF4"/>
    <w:rsid w:val="00E44B6E"/>
    <w:rsid w:val="00E4517E"/>
    <w:rsid w:val="00E5163C"/>
    <w:rsid w:val="00E611E2"/>
    <w:rsid w:val="00E711D6"/>
    <w:rsid w:val="00E74682"/>
    <w:rsid w:val="00E81322"/>
    <w:rsid w:val="00E82445"/>
    <w:rsid w:val="00E84BD9"/>
    <w:rsid w:val="00E84F5B"/>
    <w:rsid w:val="00E91056"/>
    <w:rsid w:val="00E94922"/>
    <w:rsid w:val="00EC015C"/>
    <w:rsid w:val="00EC0673"/>
    <w:rsid w:val="00EC229A"/>
    <w:rsid w:val="00EC4B5C"/>
    <w:rsid w:val="00EC6D46"/>
    <w:rsid w:val="00ED09D1"/>
    <w:rsid w:val="00ED1F1E"/>
    <w:rsid w:val="00ED5069"/>
    <w:rsid w:val="00ED5E20"/>
    <w:rsid w:val="00ED6FD3"/>
    <w:rsid w:val="00EE13CA"/>
    <w:rsid w:val="00EE47B4"/>
    <w:rsid w:val="00EF1590"/>
    <w:rsid w:val="00EF17B6"/>
    <w:rsid w:val="00EF1C61"/>
    <w:rsid w:val="00EF5762"/>
    <w:rsid w:val="00EF691E"/>
    <w:rsid w:val="00F014C5"/>
    <w:rsid w:val="00F04555"/>
    <w:rsid w:val="00F14BD6"/>
    <w:rsid w:val="00F1570A"/>
    <w:rsid w:val="00F224A9"/>
    <w:rsid w:val="00F25D37"/>
    <w:rsid w:val="00F30F26"/>
    <w:rsid w:val="00F31C40"/>
    <w:rsid w:val="00F31C7F"/>
    <w:rsid w:val="00F3555A"/>
    <w:rsid w:val="00F36D85"/>
    <w:rsid w:val="00F4531C"/>
    <w:rsid w:val="00F456DE"/>
    <w:rsid w:val="00F4581C"/>
    <w:rsid w:val="00F4667B"/>
    <w:rsid w:val="00F50BBB"/>
    <w:rsid w:val="00F50EFD"/>
    <w:rsid w:val="00F60479"/>
    <w:rsid w:val="00F60DA0"/>
    <w:rsid w:val="00F63452"/>
    <w:rsid w:val="00F63630"/>
    <w:rsid w:val="00F666D7"/>
    <w:rsid w:val="00F72C63"/>
    <w:rsid w:val="00F80F26"/>
    <w:rsid w:val="00F826AB"/>
    <w:rsid w:val="00F8577A"/>
    <w:rsid w:val="00F90243"/>
    <w:rsid w:val="00F9436A"/>
    <w:rsid w:val="00F943E7"/>
    <w:rsid w:val="00F950EE"/>
    <w:rsid w:val="00F964D9"/>
    <w:rsid w:val="00FA2A7E"/>
    <w:rsid w:val="00FB0C92"/>
    <w:rsid w:val="00FB133B"/>
    <w:rsid w:val="00FB29CE"/>
    <w:rsid w:val="00FB51C7"/>
    <w:rsid w:val="00FB6CDA"/>
    <w:rsid w:val="00FB73BB"/>
    <w:rsid w:val="00FC0882"/>
    <w:rsid w:val="00FC18B4"/>
    <w:rsid w:val="00FC6136"/>
    <w:rsid w:val="00FD0004"/>
    <w:rsid w:val="00FD035E"/>
    <w:rsid w:val="00FD5119"/>
    <w:rsid w:val="00FD52E7"/>
    <w:rsid w:val="00FD5958"/>
    <w:rsid w:val="00FE08C4"/>
    <w:rsid w:val="00FE29EB"/>
    <w:rsid w:val="00FE345F"/>
    <w:rsid w:val="00FF00D1"/>
    <w:rsid w:val="00FF0557"/>
    <w:rsid w:val="00FF2959"/>
    <w:rsid w:val="00FF2E03"/>
    <w:rsid w:val="00FF5B42"/>
    <w:rsid w:val="00FF7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DCAC8"/>
  <w15:docId w15:val="{1BE3DC13-1583-4240-B7A9-A037C239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B88"/>
    <w:pPr>
      <w:spacing w:line="360" w:lineRule="auto"/>
      <w:jc w:val="both"/>
    </w:pPr>
    <w:rPr>
      <w:rFonts w:ascii="Times New Roman" w:eastAsia="宋体" w:hAnsi="Times New Roman" w:cs="Times New Roman"/>
      <w:sz w:val="24"/>
    </w:rPr>
  </w:style>
  <w:style w:type="paragraph" w:styleId="1">
    <w:name w:val="heading 1"/>
    <w:basedOn w:val="a"/>
    <w:next w:val="a"/>
    <w:link w:val="11"/>
    <w:uiPriority w:val="9"/>
    <w:qFormat/>
    <w:rsid w:val="00981B88"/>
    <w:pPr>
      <w:keepNext/>
      <w:keepLines/>
      <w:spacing w:before="340" w:after="330" w:line="578" w:lineRule="auto"/>
      <w:outlineLvl w:val="0"/>
    </w:pPr>
    <w:rPr>
      <w:rFonts w:ascii="宋体" w:hAnsi="宋体"/>
      <w:b/>
      <w:bCs/>
      <w:kern w:val="44"/>
      <w:sz w:val="44"/>
      <w:szCs w:val="44"/>
    </w:rPr>
  </w:style>
  <w:style w:type="paragraph" w:styleId="2">
    <w:name w:val="heading 2"/>
    <w:basedOn w:val="a"/>
    <w:next w:val="a"/>
    <w:link w:val="20"/>
    <w:uiPriority w:val="9"/>
    <w:unhideWhenUsed/>
    <w:qFormat/>
    <w:rsid w:val="00882DB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82DB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981B88"/>
    <w:rPr>
      <w:rFonts w:ascii="Times New Roman" w:eastAsia="宋体" w:hAnsi="Times New Roman" w:cs="Times New Roman"/>
      <w:b/>
      <w:bCs/>
      <w:kern w:val="44"/>
      <w:sz w:val="44"/>
      <w:szCs w:val="44"/>
    </w:rPr>
  </w:style>
  <w:style w:type="character" w:customStyle="1" w:styleId="11">
    <w:name w:val="标题 1 字符1"/>
    <w:link w:val="1"/>
    <w:uiPriority w:val="9"/>
    <w:rsid w:val="00981B88"/>
    <w:rPr>
      <w:rFonts w:ascii="宋体" w:eastAsia="宋体" w:hAnsi="宋体" w:cs="Times New Roman"/>
      <w:b/>
      <w:bCs/>
      <w:kern w:val="44"/>
      <w:sz w:val="44"/>
      <w:szCs w:val="44"/>
    </w:rPr>
  </w:style>
  <w:style w:type="paragraph" w:styleId="a3">
    <w:name w:val="footer"/>
    <w:basedOn w:val="a"/>
    <w:link w:val="a4"/>
    <w:uiPriority w:val="99"/>
    <w:unhideWhenUsed/>
    <w:qFormat/>
    <w:rsid w:val="00981B88"/>
    <w:pPr>
      <w:tabs>
        <w:tab w:val="center" w:pos="4153"/>
        <w:tab w:val="right" w:pos="8306"/>
      </w:tabs>
      <w:snapToGrid w:val="0"/>
      <w:jc w:val="left"/>
    </w:pPr>
    <w:rPr>
      <w:rFonts w:ascii="等线" w:eastAsia="等线" w:hAnsi="等线"/>
      <w:sz w:val="18"/>
      <w:szCs w:val="18"/>
    </w:rPr>
  </w:style>
  <w:style w:type="character" w:customStyle="1" w:styleId="a4">
    <w:name w:val="页脚 字符"/>
    <w:basedOn w:val="a0"/>
    <w:link w:val="a3"/>
    <w:uiPriority w:val="99"/>
    <w:rsid w:val="00981B88"/>
    <w:rPr>
      <w:rFonts w:ascii="等线" w:eastAsia="等线" w:hAnsi="等线" w:cs="Times New Roman"/>
      <w:sz w:val="18"/>
      <w:szCs w:val="18"/>
    </w:rPr>
  </w:style>
  <w:style w:type="paragraph" w:styleId="a5">
    <w:name w:val="List Paragraph"/>
    <w:aliases w:val="申报正文"/>
    <w:basedOn w:val="a"/>
    <w:link w:val="a6"/>
    <w:uiPriority w:val="34"/>
    <w:qFormat/>
    <w:rsid w:val="00981B88"/>
    <w:pPr>
      <w:tabs>
        <w:tab w:val="left" w:pos="1418"/>
      </w:tabs>
      <w:suppressAutoHyphens/>
      <w:adjustRightInd w:val="0"/>
      <w:snapToGrid w:val="0"/>
      <w:ind w:firstLineChars="200" w:firstLine="480"/>
    </w:pPr>
    <w:rPr>
      <w:szCs w:val="21"/>
      <w:lang w:val="en-GB"/>
    </w:rPr>
  </w:style>
  <w:style w:type="character" w:customStyle="1" w:styleId="a6">
    <w:name w:val="列出段落 字符"/>
    <w:aliases w:val="申报正文 字符"/>
    <w:link w:val="a5"/>
    <w:uiPriority w:val="34"/>
    <w:rsid w:val="00981B88"/>
    <w:rPr>
      <w:rFonts w:ascii="Times New Roman" w:eastAsia="宋体" w:hAnsi="Times New Roman" w:cs="Times New Roman"/>
      <w:sz w:val="24"/>
      <w:szCs w:val="21"/>
      <w:lang w:val="en-GB"/>
    </w:rPr>
  </w:style>
  <w:style w:type="paragraph" w:styleId="a7">
    <w:name w:val="endnote text"/>
    <w:basedOn w:val="a"/>
    <w:link w:val="a8"/>
    <w:uiPriority w:val="99"/>
    <w:semiHidden/>
    <w:unhideWhenUsed/>
    <w:rsid w:val="006C6F9C"/>
    <w:pPr>
      <w:snapToGrid w:val="0"/>
      <w:jc w:val="left"/>
    </w:pPr>
  </w:style>
  <w:style w:type="character" w:customStyle="1" w:styleId="a8">
    <w:name w:val="尾注文本 字符"/>
    <w:basedOn w:val="a0"/>
    <w:link w:val="a7"/>
    <w:uiPriority w:val="99"/>
    <w:semiHidden/>
    <w:rsid w:val="006C6F9C"/>
    <w:rPr>
      <w:rFonts w:ascii="Times New Roman" w:eastAsia="宋体" w:hAnsi="Times New Roman" w:cs="Times New Roman"/>
      <w:sz w:val="24"/>
    </w:rPr>
  </w:style>
  <w:style w:type="character" w:styleId="a9">
    <w:name w:val="endnote reference"/>
    <w:basedOn w:val="a0"/>
    <w:uiPriority w:val="99"/>
    <w:semiHidden/>
    <w:unhideWhenUsed/>
    <w:rsid w:val="006C6F9C"/>
    <w:rPr>
      <w:vertAlign w:val="superscript"/>
    </w:rPr>
  </w:style>
  <w:style w:type="character" w:styleId="aa">
    <w:name w:val="annotation reference"/>
    <w:basedOn w:val="a0"/>
    <w:uiPriority w:val="99"/>
    <w:semiHidden/>
    <w:unhideWhenUsed/>
    <w:rsid w:val="006C6F9C"/>
    <w:rPr>
      <w:sz w:val="21"/>
      <w:szCs w:val="21"/>
    </w:rPr>
  </w:style>
  <w:style w:type="paragraph" w:styleId="ab">
    <w:name w:val="annotation text"/>
    <w:basedOn w:val="a"/>
    <w:link w:val="ac"/>
    <w:uiPriority w:val="99"/>
    <w:semiHidden/>
    <w:unhideWhenUsed/>
    <w:rsid w:val="006C6F9C"/>
    <w:pPr>
      <w:jc w:val="left"/>
    </w:pPr>
  </w:style>
  <w:style w:type="character" w:customStyle="1" w:styleId="ac">
    <w:name w:val="批注文字 字符"/>
    <w:basedOn w:val="a0"/>
    <w:link w:val="ab"/>
    <w:uiPriority w:val="99"/>
    <w:semiHidden/>
    <w:rsid w:val="006C6F9C"/>
    <w:rPr>
      <w:rFonts w:ascii="Times New Roman" w:eastAsia="宋体" w:hAnsi="Times New Roman" w:cs="Times New Roman"/>
      <w:sz w:val="24"/>
    </w:rPr>
  </w:style>
  <w:style w:type="paragraph" w:styleId="ad">
    <w:name w:val="annotation subject"/>
    <w:basedOn w:val="ab"/>
    <w:next w:val="ab"/>
    <w:link w:val="ae"/>
    <w:uiPriority w:val="99"/>
    <w:semiHidden/>
    <w:unhideWhenUsed/>
    <w:rsid w:val="006C6F9C"/>
    <w:rPr>
      <w:b/>
      <w:bCs/>
    </w:rPr>
  </w:style>
  <w:style w:type="character" w:customStyle="1" w:styleId="ae">
    <w:name w:val="批注主题 字符"/>
    <w:basedOn w:val="ac"/>
    <w:link w:val="ad"/>
    <w:uiPriority w:val="99"/>
    <w:semiHidden/>
    <w:rsid w:val="006C6F9C"/>
    <w:rPr>
      <w:rFonts w:ascii="Times New Roman" w:eastAsia="宋体" w:hAnsi="Times New Roman" w:cs="Times New Roman"/>
      <w:b/>
      <w:bCs/>
      <w:sz w:val="24"/>
    </w:rPr>
  </w:style>
  <w:style w:type="paragraph" w:styleId="af">
    <w:name w:val="Balloon Text"/>
    <w:basedOn w:val="a"/>
    <w:link w:val="af0"/>
    <w:uiPriority w:val="99"/>
    <w:semiHidden/>
    <w:unhideWhenUsed/>
    <w:rsid w:val="006C6F9C"/>
    <w:pPr>
      <w:spacing w:line="240" w:lineRule="auto"/>
    </w:pPr>
    <w:rPr>
      <w:sz w:val="18"/>
      <w:szCs w:val="18"/>
    </w:rPr>
  </w:style>
  <w:style w:type="character" w:customStyle="1" w:styleId="af0">
    <w:name w:val="批注框文本 字符"/>
    <w:basedOn w:val="a0"/>
    <w:link w:val="af"/>
    <w:uiPriority w:val="99"/>
    <w:semiHidden/>
    <w:rsid w:val="006C6F9C"/>
    <w:rPr>
      <w:rFonts w:ascii="Times New Roman" w:eastAsia="宋体" w:hAnsi="Times New Roman" w:cs="Times New Roman"/>
      <w:sz w:val="18"/>
      <w:szCs w:val="18"/>
    </w:rPr>
  </w:style>
  <w:style w:type="paragraph" w:styleId="af1">
    <w:name w:val="header"/>
    <w:basedOn w:val="a"/>
    <w:link w:val="af2"/>
    <w:uiPriority w:val="99"/>
    <w:unhideWhenUsed/>
    <w:rsid w:val="00E84F5B"/>
    <w:pPr>
      <w:pBdr>
        <w:bottom w:val="single" w:sz="6" w:space="1" w:color="auto"/>
      </w:pBdr>
      <w:tabs>
        <w:tab w:val="center" w:pos="4153"/>
        <w:tab w:val="right" w:pos="8306"/>
      </w:tabs>
      <w:snapToGrid w:val="0"/>
      <w:spacing w:line="240" w:lineRule="auto"/>
      <w:jc w:val="center"/>
    </w:pPr>
    <w:rPr>
      <w:sz w:val="18"/>
      <w:szCs w:val="18"/>
    </w:rPr>
  </w:style>
  <w:style w:type="character" w:customStyle="1" w:styleId="af2">
    <w:name w:val="页眉 字符"/>
    <w:basedOn w:val="a0"/>
    <w:link w:val="af1"/>
    <w:uiPriority w:val="99"/>
    <w:rsid w:val="00E84F5B"/>
    <w:rPr>
      <w:rFonts w:ascii="Times New Roman" w:eastAsia="宋体" w:hAnsi="Times New Roman" w:cs="Times New Roman"/>
      <w:sz w:val="18"/>
      <w:szCs w:val="18"/>
    </w:rPr>
  </w:style>
  <w:style w:type="character" w:customStyle="1" w:styleId="20">
    <w:name w:val="标题 2 字符"/>
    <w:basedOn w:val="a0"/>
    <w:link w:val="2"/>
    <w:uiPriority w:val="9"/>
    <w:rsid w:val="00882DB7"/>
    <w:rPr>
      <w:rFonts w:asciiTheme="majorHAnsi" w:eastAsiaTheme="majorEastAsia" w:hAnsiTheme="majorHAnsi" w:cstheme="majorBidi"/>
      <w:b/>
      <w:bCs/>
      <w:sz w:val="32"/>
      <w:szCs w:val="32"/>
    </w:rPr>
  </w:style>
  <w:style w:type="character" w:customStyle="1" w:styleId="30">
    <w:name w:val="标题 3 字符"/>
    <w:basedOn w:val="a0"/>
    <w:link w:val="3"/>
    <w:uiPriority w:val="9"/>
    <w:rsid w:val="00882DB7"/>
    <w:rPr>
      <w:rFonts w:ascii="Times New Roman" w:eastAsia="宋体" w:hAnsi="Times New Roman" w:cs="Times New Roman"/>
      <w:b/>
      <w:bCs/>
      <w:sz w:val="32"/>
      <w:szCs w:val="32"/>
    </w:rPr>
  </w:style>
  <w:style w:type="paragraph" w:styleId="TOC">
    <w:name w:val="TOC Heading"/>
    <w:basedOn w:val="1"/>
    <w:next w:val="a"/>
    <w:uiPriority w:val="39"/>
    <w:unhideWhenUsed/>
    <w:qFormat/>
    <w:rsid w:val="002B4EF8"/>
    <w:pPr>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2">
    <w:name w:val="toc 1"/>
    <w:basedOn w:val="a"/>
    <w:next w:val="a"/>
    <w:autoRedefine/>
    <w:uiPriority w:val="39"/>
    <w:unhideWhenUsed/>
    <w:rsid w:val="002B4EF8"/>
  </w:style>
  <w:style w:type="paragraph" w:styleId="21">
    <w:name w:val="toc 2"/>
    <w:basedOn w:val="a"/>
    <w:next w:val="a"/>
    <w:autoRedefine/>
    <w:uiPriority w:val="39"/>
    <w:unhideWhenUsed/>
    <w:rsid w:val="002B4EF8"/>
    <w:pPr>
      <w:ind w:leftChars="200" w:left="420"/>
    </w:pPr>
  </w:style>
  <w:style w:type="paragraph" w:styleId="31">
    <w:name w:val="toc 3"/>
    <w:basedOn w:val="a"/>
    <w:next w:val="a"/>
    <w:autoRedefine/>
    <w:uiPriority w:val="39"/>
    <w:unhideWhenUsed/>
    <w:rsid w:val="002B4EF8"/>
    <w:pPr>
      <w:ind w:leftChars="400" w:left="840"/>
    </w:pPr>
  </w:style>
  <w:style w:type="character" w:styleId="af3">
    <w:name w:val="Hyperlink"/>
    <w:basedOn w:val="a0"/>
    <w:uiPriority w:val="99"/>
    <w:unhideWhenUsed/>
    <w:rsid w:val="002B4EF8"/>
    <w:rPr>
      <w:color w:val="0563C1" w:themeColor="hyperlink"/>
      <w:u w:val="single"/>
    </w:rPr>
  </w:style>
  <w:style w:type="table" w:styleId="af4">
    <w:name w:val="Table Grid"/>
    <w:basedOn w:val="a1"/>
    <w:uiPriority w:val="39"/>
    <w:rsid w:val="006F4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line number"/>
    <w:basedOn w:val="a0"/>
    <w:uiPriority w:val="99"/>
    <w:semiHidden/>
    <w:unhideWhenUsed/>
    <w:rsid w:val="00564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1284">
      <w:bodyDiv w:val="1"/>
      <w:marLeft w:val="0"/>
      <w:marRight w:val="0"/>
      <w:marTop w:val="0"/>
      <w:marBottom w:val="0"/>
      <w:divBdr>
        <w:top w:val="none" w:sz="0" w:space="0" w:color="auto"/>
        <w:left w:val="none" w:sz="0" w:space="0" w:color="auto"/>
        <w:bottom w:val="none" w:sz="0" w:space="0" w:color="auto"/>
        <w:right w:val="none" w:sz="0" w:space="0" w:color="auto"/>
      </w:divBdr>
      <w:divsChild>
        <w:div w:id="2117747209">
          <w:marLeft w:val="547"/>
          <w:marRight w:val="0"/>
          <w:marTop w:val="96"/>
          <w:marBottom w:val="0"/>
          <w:divBdr>
            <w:top w:val="none" w:sz="0" w:space="0" w:color="auto"/>
            <w:left w:val="none" w:sz="0" w:space="0" w:color="auto"/>
            <w:bottom w:val="none" w:sz="0" w:space="0" w:color="auto"/>
            <w:right w:val="none" w:sz="0" w:space="0" w:color="auto"/>
          </w:divBdr>
        </w:div>
      </w:divsChild>
    </w:div>
    <w:div w:id="1091124032">
      <w:bodyDiv w:val="1"/>
      <w:marLeft w:val="0"/>
      <w:marRight w:val="0"/>
      <w:marTop w:val="0"/>
      <w:marBottom w:val="0"/>
      <w:divBdr>
        <w:top w:val="none" w:sz="0" w:space="0" w:color="auto"/>
        <w:left w:val="none" w:sz="0" w:space="0" w:color="auto"/>
        <w:bottom w:val="none" w:sz="0" w:space="0" w:color="auto"/>
        <w:right w:val="none" w:sz="0" w:space="0" w:color="auto"/>
      </w:divBdr>
      <w:divsChild>
        <w:div w:id="414597713">
          <w:marLeft w:val="547"/>
          <w:marRight w:val="0"/>
          <w:marTop w:val="115"/>
          <w:marBottom w:val="0"/>
          <w:divBdr>
            <w:top w:val="none" w:sz="0" w:space="0" w:color="auto"/>
            <w:left w:val="none" w:sz="0" w:space="0" w:color="auto"/>
            <w:bottom w:val="none" w:sz="0" w:space="0" w:color="auto"/>
            <w:right w:val="none" w:sz="0" w:space="0" w:color="auto"/>
          </w:divBdr>
        </w:div>
      </w:divsChild>
    </w:div>
    <w:div w:id="1306008010">
      <w:bodyDiv w:val="1"/>
      <w:marLeft w:val="0"/>
      <w:marRight w:val="0"/>
      <w:marTop w:val="0"/>
      <w:marBottom w:val="0"/>
      <w:divBdr>
        <w:top w:val="none" w:sz="0" w:space="0" w:color="auto"/>
        <w:left w:val="none" w:sz="0" w:space="0" w:color="auto"/>
        <w:bottom w:val="none" w:sz="0" w:space="0" w:color="auto"/>
        <w:right w:val="none" w:sz="0" w:space="0" w:color="auto"/>
      </w:divBdr>
      <w:divsChild>
        <w:div w:id="977151718">
          <w:marLeft w:val="547"/>
          <w:marRight w:val="0"/>
          <w:marTop w:val="120"/>
          <w:marBottom w:val="0"/>
          <w:divBdr>
            <w:top w:val="none" w:sz="0" w:space="0" w:color="auto"/>
            <w:left w:val="none" w:sz="0" w:space="0" w:color="auto"/>
            <w:bottom w:val="none" w:sz="0" w:space="0" w:color="auto"/>
            <w:right w:val="none" w:sz="0" w:space="0" w:color="auto"/>
          </w:divBdr>
        </w:div>
      </w:divsChild>
    </w:div>
    <w:div w:id="1365715205">
      <w:bodyDiv w:val="1"/>
      <w:marLeft w:val="0"/>
      <w:marRight w:val="0"/>
      <w:marTop w:val="0"/>
      <w:marBottom w:val="0"/>
      <w:divBdr>
        <w:top w:val="none" w:sz="0" w:space="0" w:color="auto"/>
        <w:left w:val="none" w:sz="0" w:space="0" w:color="auto"/>
        <w:bottom w:val="none" w:sz="0" w:space="0" w:color="auto"/>
        <w:right w:val="none" w:sz="0" w:space="0" w:color="auto"/>
      </w:divBdr>
    </w:div>
    <w:div w:id="1384598374">
      <w:bodyDiv w:val="1"/>
      <w:marLeft w:val="0"/>
      <w:marRight w:val="0"/>
      <w:marTop w:val="0"/>
      <w:marBottom w:val="0"/>
      <w:divBdr>
        <w:top w:val="none" w:sz="0" w:space="0" w:color="auto"/>
        <w:left w:val="none" w:sz="0" w:space="0" w:color="auto"/>
        <w:bottom w:val="none" w:sz="0" w:space="0" w:color="auto"/>
        <w:right w:val="none" w:sz="0" w:space="0" w:color="auto"/>
      </w:divBdr>
      <w:divsChild>
        <w:div w:id="94780870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92A6A-C4B9-40CD-AA40-11ADBC95F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王丽卿</dc:creator>
  <cp:lastModifiedBy>孙艳喆</cp:lastModifiedBy>
  <cp:revision>24</cp:revision>
  <cp:lastPrinted>2020-06-29T02:04:00Z</cp:lastPrinted>
  <dcterms:created xsi:type="dcterms:W3CDTF">2020-06-29T00:37:00Z</dcterms:created>
  <dcterms:modified xsi:type="dcterms:W3CDTF">2020-07-06T06:13:00Z</dcterms:modified>
</cp:coreProperties>
</file>