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F16" w:rsidRPr="00075F16" w:rsidRDefault="00A5011F" w:rsidP="00075F16">
      <w:pPr>
        <w:jc w:val="center"/>
        <w:rPr>
          <w:rFonts w:ascii="方正小标宋简体" w:eastAsia="方正小标宋简体"/>
          <w:sz w:val="36"/>
          <w:szCs w:val="36"/>
        </w:rPr>
      </w:pPr>
      <w:bookmarkStart w:id="0" w:name="_GoBack"/>
      <w:bookmarkEnd w:id="0"/>
      <w:r w:rsidRPr="00A5011F">
        <w:rPr>
          <w:rFonts w:ascii="方正小标宋简体" w:eastAsia="方正小标宋简体" w:hAnsi="Calibri" w:cs="Times New Roman" w:hint="eastAsia"/>
          <w:sz w:val="36"/>
          <w:szCs w:val="36"/>
        </w:rPr>
        <w:t>《</w:t>
      </w:r>
      <w:r w:rsidR="00FF026D" w:rsidRPr="00FF026D">
        <w:rPr>
          <w:rFonts w:ascii="方正小标宋简体" w:eastAsia="方正小标宋简体" w:hAnsi="Calibri" w:cs="Times New Roman" w:hint="eastAsia"/>
          <w:sz w:val="36"/>
          <w:szCs w:val="36"/>
        </w:rPr>
        <w:t>化学药品非处方药上市注册技术指导原则</w:t>
      </w:r>
      <w:r w:rsidR="00075F16" w:rsidRPr="00C2564C">
        <w:rPr>
          <w:rFonts w:ascii="方正小标宋简体" w:eastAsia="方正小标宋简体" w:hint="eastAsia"/>
          <w:sz w:val="36"/>
          <w:szCs w:val="36"/>
        </w:rPr>
        <w:t>（征求意见稿）</w:t>
      </w:r>
      <w:r w:rsidR="00075F16" w:rsidRPr="00075F16">
        <w:rPr>
          <w:rFonts w:ascii="方正小标宋简体" w:eastAsia="方正小标宋简体" w:hAnsi="Calibri" w:cs="Times New Roman" w:hint="eastAsia"/>
          <w:sz w:val="36"/>
          <w:szCs w:val="36"/>
        </w:rPr>
        <w:t>》起草说明</w:t>
      </w:r>
    </w:p>
    <w:p w:rsidR="00FF026D" w:rsidRPr="00075F16" w:rsidRDefault="00FF026D" w:rsidP="00FF026D">
      <w:pPr>
        <w:ind w:firstLineChars="175" w:firstLine="560"/>
        <w:rPr>
          <w:rFonts w:ascii="仿宋" w:eastAsia="仿宋" w:hAnsi="仿宋" w:cs="Times New Roman"/>
          <w:color w:val="000000"/>
          <w:sz w:val="32"/>
          <w:szCs w:val="32"/>
        </w:rPr>
      </w:pPr>
      <w:r w:rsidRPr="00FF026D">
        <w:rPr>
          <w:rFonts w:ascii="仿宋" w:eastAsia="仿宋" w:hAnsi="仿宋" w:cs="Times New Roman" w:hint="eastAsia"/>
          <w:color w:val="000000"/>
          <w:sz w:val="32"/>
          <w:szCs w:val="32"/>
        </w:rPr>
        <w:t>为配合《药品注册管理办法》的实施，</w:t>
      </w:r>
      <w:r>
        <w:rPr>
          <w:rFonts w:ascii="仿宋" w:eastAsia="仿宋" w:hAnsi="仿宋" w:cs="Times New Roman" w:hint="eastAsia"/>
          <w:color w:val="000000"/>
          <w:sz w:val="32"/>
          <w:szCs w:val="32"/>
        </w:rPr>
        <w:t>规范</w:t>
      </w:r>
      <w:r w:rsidRPr="00882409">
        <w:rPr>
          <w:rFonts w:ascii="仿宋" w:eastAsia="仿宋" w:hAnsi="仿宋" w:cs="Times New Roman" w:hint="eastAsia"/>
          <w:color w:val="000000"/>
          <w:sz w:val="32"/>
          <w:szCs w:val="32"/>
        </w:rPr>
        <w:t>我国</w:t>
      </w:r>
      <w:r>
        <w:rPr>
          <w:rFonts w:ascii="仿宋" w:eastAsia="仿宋" w:hAnsi="仿宋" w:cs="Times New Roman" w:hint="eastAsia"/>
          <w:color w:val="000000"/>
          <w:sz w:val="32"/>
          <w:szCs w:val="32"/>
        </w:rPr>
        <w:t>非处方药的</w:t>
      </w:r>
      <w:r>
        <w:rPr>
          <w:rFonts w:ascii="仿宋" w:eastAsia="仿宋" w:hAnsi="仿宋" w:cs="Times New Roman"/>
          <w:color w:val="000000"/>
          <w:sz w:val="32"/>
          <w:szCs w:val="32"/>
        </w:rPr>
        <w:t>研发，</w:t>
      </w:r>
      <w:r w:rsidRPr="00075F16">
        <w:rPr>
          <w:rFonts w:ascii="仿宋" w:eastAsia="仿宋" w:hAnsi="仿宋" w:cs="Times New Roman" w:hint="eastAsia"/>
          <w:color w:val="000000"/>
          <w:sz w:val="32"/>
          <w:szCs w:val="32"/>
        </w:rPr>
        <w:t>进一步</w:t>
      </w:r>
      <w:r w:rsidRPr="00882409">
        <w:rPr>
          <w:rFonts w:ascii="仿宋" w:eastAsia="仿宋" w:hAnsi="仿宋" w:cs="Times New Roman" w:hint="eastAsia"/>
          <w:color w:val="000000"/>
          <w:sz w:val="32"/>
          <w:szCs w:val="32"/>
        </w:rPr>
        <w:t>明确</w:t>
      </w:r>
      <w:r>
        <w:rPr>
          <w:rFonts w:ascii="仿宋" w:eastAsia="仿宋" w:hAnsi="仿宋" w:cs="Times New Roman" w:hint="eastAsia"/>
          <w:color w:val="000000"/>
          <w:sz w:val="32"/>
          <w:szCs w:val="32"/>
        </w:rPr>
        <w:t>化学药品非处方药上市注册研究要求</w:t>
      </w:r>
      <w:r w:rsidRPr="00075F16">
        <w:rPr>
          <w:rFonts w:ascii="仿宋" w:eastAsia="仿宋" w:hAnsi="仿宋" w:cs="Times New Roman" w:hint="eastAsia"/>
          <w:color w:val="000000"/>
          <w:sz w:val="32"/>
          <w:szCs w:val="32"/>
        </w:rPr>
        <w:t>，药品审评中心组织起草了</w:t>
      </w:r>
      <w:r w:rsidRPr="00E001CF">
        <w:rPr>
          <w:rFonts w:ascii="仿宋" w:eastAsia="仿宋" w:hAnsi="仿宋" w:cs="Times New Roman" w:hint="eastAsia"/>
          <w:color w:val="000000"/>
          <w:sz w:val="32"/>
          <w:szCs w:val="32"/>
        </w:rPr>
        <w:t>《</w:t>
      </w:r>
      <w:r w:rsidRPr="00FF026D">
        <w:rPr>
          <w:rFonts w:ascii="仿宋" w:eastAsia="仿宋" w:hAnsi="仿宋" w:cs="Times New Roman" w:hint="eastAsia"/>
          <w:color w:val="000000"/>
          <w:sz w:val="32"/>
          <w:szCs w:val="32"/>
        </w:rPr>
        <w:t>化学药品非处方药上市注册技术指导原则</w:t>
      </w:r>
      <w:r w:rsidRPr="00E001CF">
        <w:rPr>
          <w:rFonts w:ascii="仿宋" w:eastAsia="仿宋" w:hAnsi="仿宋" w:cs="Times New Roman" w:hint="eastAsia"/>
          <w:color w:val="000000"/>
          <w:sz w:val="32"/>
          <w:szCs w:val="32"/>
        </w:rPr>
        <w:t>》</w:t>
      </w:r>
      <w:r>
        <w:rPr>
          <w:rFonts w:ascii="仿宋" w:eastAsia="仿宋" w:hAnsi="仿宋" w:cs="Times New Roman" w:hint="eastAsia"/>
          <w:color w:val="000000"/>
          <w:sz w:val="32"/>
          <w:szCs w:val="32"/>
        </w:rPr>
        <w:t>，</w:t>
      </w:r>
      <w:r>
        <w:rPr>
          <w:rFonts w:ascii="仿宋" w:eastAsia="仿宋" w:hAnsi="仿宋" w:cs="Times New Roman"/>
          <w:color w:val="000000"/>
          <w:sz w:val="32"/>
          <w:szCs w:val="32"/>
        </w:rPr>
        <w:t>形成</w:t>
      </w:r>
      <w:r w:rsidRPr="00336F79">
        <w:rPr>
          <w:rFonts w:ascii="仿宋" w:eastAsia="仿宋" w:hAnsi="仿宋" w:cs="Times New Roman" w:hint="eastAsia"/>
          <w:color w:val="000000"/>
          <w:sz w:val="32"/>
          <w:szCs w:val="32"/>
        </w:rPr>
        <w:t>征求意见稿</w:t>
      </w:r>
      <w:r w:rsidRPr="00075F16">
        <w:rPr>
          <w:rFonts w:ascii="仿宋" w:eastAsia="仿宋" w:hAnsi="仿宋" w:cs="Times New Roman" w:hint="eastAsia"/>
          <w:color w:val="000000"/>
          <w:sz w:val="32"/>
          <w:szCs w:val="32"/>
        </w:rPr>
        <w:t>。现将有关情况说明如下：</w:t>
      </w:r>
    </w:p>
    <w:p w:rsidR="00FF026D" w:rsidRPr="00075F16" w:rsidRDefault="00FF026D" w:rsidP="00FF026D">
      <w:pPr>
        <w:ind w:firstLineChars="196" w:firstLine="630"/>
        <w:rPr>
          <w:rFonts w:ascii="仿宋" w:eastAsia="仿宋" w:hAnsi="仿宋" w:cs="Times New Roman"/>
          <w:b/>
          <w:color w:val="000000"/>
          <w:sz w:val="32"/>
          <w:szCs w:val="32"/>
        </w:rPr>
      </w:pPr>
      <w:r w:rsidRPr="00075F16">
        <w:rPr>
          <w:rFonts w:ascii="仿宋" w:eastAsia="仿宋" w:hAnsi="仿宋" w:cs="Times New Roman" w:hint="eastAsia"/>
          <w:b/>
          <w:color w:val="000000"/>
          <w:sz w:val="32"/>
          <w:szCs w:val="32"/>
        </w:rPr>
        <w:t>一、背景和目的</w:t>
      </w:r>
    </w:p>
    <w:p w:rsidR="005A7C9B" w:rsidRPr="005A7C9B" w:rsidRDefault="005A7C9B" w:rsidP="005A7C9B">
      <w:pPr>
        <w:ind w:firstLineChars="200" w:firstLine="640"/>
        <w:rPr>
          <w:rFonts w:ascii="仿宋" w:eastAsia="仿宋" w:hAnsi="仿宋" w:cs="Times New Roman"/>
          <w:color w:val="000000"/>
          <w:sz w:val="32"/>
          <w:szCs w:val="32"/>
        </w:rPr>
      </w:pPr>
      <w:r w:rsidRPr="005A7C9B">
        <w:rPr>
          <w:rFonts w:ascii="仿宋" w:eastAsia="仿宋" w:hAnsi="仿宋" w:cs="Times New Roman" w:hint="eastAsia"/>
          <w:color w:val="000000"/>
          <w:sz w:val="32"/>
          <w:szCs w:val="32"/>
        </w:rPr>
        <w:t>非处方药具有有效性明确，安全性范围广，误用和滥用风险低，适应症和用法用量确定，且易于人群自行判断、使用与管理的特点。除此之外，非处方药在剂型、规格、口味、颜色、气味、包装等方面能够更好的满足人群个性化的用药需求。</w:t>
      </w:r>
    </w:p>
    <w:p w:rsidR="005A7C9B" w:rsidRPr="005A7C9B" w:rsidRDefault="005A7C9B" w:rsidP="005A7C9B">
      <w:pPr>
        <w:ind w:firstLineChars="200" w:firstLine="640"/>
        <w:rPr>
          <w:rFonts w:ascii="仿宋" w:eastAsia="仿宋" w:hAnsi="仿宋" w:cs="Times New Roman"/>
          <w:color w:val="000000"/>
          <w:sz w:val="32"/>
          <w:szCs w:val="32"/>
        </w:rPr>
      </w:pPr>
      <w:r w:rsidRPr="005A7C9B">
        <w:rPr>
          <w:rFonts w:ascii="仿宋" w:eastAsia="仿宋" w:hAnsi="仿宋" w:cs="Times New Roman" w:hint="eastAsia"/>
          <w:color w:val="000000"/>
          <w:sz w:val="32"/>
          <w:szCs w:val="32"/>
        </w:rPr>
        <w:t>《药品注册管理办法》</w:t>
      </w:r>
      <w:r w:rsidRPr="005A7C9B">
        <w:rPr>
          <w:rFonts w:ascii="仿宋" w:eastAsia="仿宋" w:hAnsi="仿宋" w:cs="Times New Roman"/>
          <w:color w:val="000000"/>
          <w:sz w:val="32"/>
          <w:szCs w:val="32"/>
        </w:rPr>
        <w:t>明确规定，处方药和非处方药实行分类注册和转换管理，符合以下情形之一的，可以直接提出非处方药上市许可申请：（一）境内已有相同活性成分、适应症（或者功能主治） 、剂型、规格的非处方药上市的药品；（二）经国家药品监督管理局确定的非处方药改变剂型或者规格，但不改变适应症（或者功能主治）、给药剂量以及给药途径的药品；（三）使用国家药品监督管理局确定的非处方药的活性成份组成的新的复方制剂；（四）其他直接申报非处方药上市许可的情形。</w:t>
      </w:r>
    </w:p>
    <w:p w:rsidR="005A7C9B" w:rsidRPr="005A7C9B" w:rsidRDefault="005A7C9B" w:rsidP="005A7C9B">
      <w:pPr>
        <w:ind w:firstLineChars="200" w:firstLine="640"/>
        <w:rPr>
          <w:rFonts w:ascii="仿宋" w:eastAsia="仿宋" w:hAnsi="仿宋" w:cs="Times New Roman"/>
          <w:color w:val="000000"/>
          <w:sz w:val="32"/>
          <w:szCs w:val="32"/>
        </w:rPr>
      </w:pPr>
      <w:r w:rsidRPr="005A7C9B">
        <w:rPr>
          <w:rFonts w:ascii="仿宋" w:eastAsia="仿宋" w:hAnsi="仿宋" w:cs="Times New Roman" w:hint="eastAsia"/>
          <w:color w:val="000000"/>
          <w:sz w:val="32"/>
          <w:szCs w:val="32"/>
        </w:rPr>
        <w:t>本指导原则基于我国非处方药注册申报特点，围绕以上</w:t>
      </w:r>
      <w:r w:rsidRPr="005A7C9B">
        <w:rPr>
          <w:rFonts w:ascii="仿宋" w:eastAsia="仿宋" w:hAnsi="仿宋" w:cs="Times New Roman" w:hint="eastAsia"/>
          <w:color w:val="000000"/>
          <w:sz w:val="32"/>
          <w:szCs w:val="32"/>
        </w:rPr>
        <w:lastRenderedPageBreak/>
        <w:t>四种情形，制定非处方药上市许可申请的技术要求。本指导原则着重阐述非处方药上市许可申请所涉及技术要求中的总体考虑，研发中的一般原则与标准，如药品生产质量管理规范（</w:t>
      </w:r>
      <w:r w:rsidRPr="005A7C9B">
        <w:rPr>
          <w:rFonts w:ascii="仿宋" w:eastAsia="仿宋" w:hAnsi="仿宋" w:cs="Times New Roman"/>
          <w:color w:val="000000"/>
          <w:sz w:val="32"/>
          <w:szCs w:val="32"/>
        </w:rPr>
        <w:t>GMP）、药物临床试验质量管理规范（GCP）等，执行与处方药上市许可申请一致的原则。</w:t>
      </w:r>
    </w:p>
    <w:p w:rsidR="00FF026D" w:rsidRPr="00F24154" w:rsidRDefault="005A7C9B" w:rsidP="005A7C9B">
      <w:pPr>
        <w:ind w:firstLineChars="200" w:firstLine="640"/>
        <w:rPr>
          <w:rFonts w:ascii="仿宋" w:eastAsia="仿宋" w:hAnsi="仿宋" w:cs="Times New Roman"/>
          <w:color w:val="000000"/>
          <w:sz w:val="32"/>
          <w:szCs w:val="32"/>
        </w:rPr>
      </w:pPr>
      <w:r w:rsidRPr="005A7C9B">
        <w:rPr>
          <w:rFonts w:ascii="仿宋" w:eastAsia="仿宋" w:hAnsi="仿宋" w:cs="Times New Roman" w:hint="eastAsia"/>
          <w:color w:val="000000"/>
          <w:sz w:val="32"/>
          <w:szCs w:val="32"/>
        </w:rPr>
        <w:t>本指导原则适用于化学药品类非处方药。</w:t>
      </w:r>
      <w:r w:rsidR="00FF026D" w:rsidRPr="00F24154">
        <w:rPr>
          <w:rFonts w:ascii="仿宋" w:eastAsia="仿宋" w:hAnsi="仿宋" w:cs="Times New Roman"/>
          <w:color w:val="000000"/>
          <w:sz w:val="32"/>
          <w:szCs w:val="32"/>
        </w:rPr>
        <w:t xml:space="preserve"> </w:t>
      </w:r>
    </w:p>
    <w:p w:rsidR="00FF026D" w:rsidRPr="00075F16" w:rsidRDefault="00FF026D" w:rsidP="00FF026D">
      <w:pPr>
        <w:numPr>
          <w:ilvl w:val="0"/>
          <w:numId w:val="1"/>
        </w:numPr>
        <w:ind w:firstLine="643"/>
        <w:rPr>
          <w:rFonts w:ascii="仿宋" w:eastAsia="仿宋" w:hAnsi="仿宋" w:cs="Times New Roman"/>
          <w:b/>
          <w:color w:val="000000"/>
          <w:sz w:val="32"/>
          <w:szCs w:val="32"/>
        </w:rPr>
      </w:pPr>
      <w:r w:rsidRPr="00075F16">
        <w:rPr>
          <w:rFonts w:ascii="仿宋" w:eastAsia="仿宋" w:hAnsi="仿宋" w:cs="Times New Roman" w:hint="eastAsia"/>
          <w:b/>
          <w:color w:val="000000"/>
          <w:sz w:val="32"/>
          <w:szCs w:val="32"/>
        </w:rPr>
        <w:t>起草过程</w:t>
      </w:r>
    </w:p>
    <w:p w:rsidR="00FF026D" w:rsidRPr="00075F16" w:rsidRDefault="00FF026D" w:rsidP="00FF026D">
      <w:pPr>
        <w:autoSpaceDE w:val="0"/>
        <w:autoSpaceDN w:val="0"/>
        <w:adjustRightInd w:val="0"/>
        <w:spacing w:line="360" w:lineRule="auto"/>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本指导原则</w:t>
      </w:r>
      <w:r>
        <w:rPr>
          <w:rFonts w:ascii="仿宋" w:eastAsia="仿宋" w:hAnsi="仿宋" w:cs="Times New Roman"/>
          <w:color w:val="000000"/>
          <w:sz w:val="32"/>
          <w:szCs w:val="32"/>
        </w:rPr>
        <w:t>由化药临床一部牵头，</w:t>
      </w:r>
      <w:r w:rsidR="001339C1">
        <w:rPr>
          <w:rFonts w:ascii="仿宋" w:eastAsia="仿宋" w:hAnsi="仿宋" w:cs="Times New Roman" w:hint="eastAsia"/>
          <w:color w:val="000000"/>
          <w:sz w:val="32"/>
          <w:szCs w:val="32"/>
        </w:rPr>
        <w:t>参与部门包括：化药药学一部和二部、药理毒理学部、统计与临床药理学部、业务管理处、质量处。本指导原则的制定工作于</w:t>
      </w:r>
      <w:r w:rsidRPr="00075F16">
        <w:rPr>
          <w:rFonts w:ascii="仿宋" w:eastAsia="仿宋" w:hAnsi="仿宋" w:cs="Times New Roman" w:hint="eastAsia"/>
          <w:color w:val="000000"/>
          <w:sz w:val="32"/>
          <w:szCs w:val="32"/>
        </w:rPr>
        <w:t>20</w:t>
      </w:r>
      <w:r>
        <w:rPr>
          <w:rFonts w:ascii="仿宋" w:eastAsia="仿宋" w:hAnsi="仿宋" w:cs="Times New Roman"/>
          <w:color w:val="000000"/>
          <w:sz w:val="32"/>
          <w:szCs w:val="32"/>
        </w:rPr>
        <w:t>20</w:t>
      </w:r>
      <w:r w:rsidRPr="00075F16">
        <w:rPr>
          <w:rFonts w:ascii="仿宋" w:eastAsia="仿宋" w:hAnsi="仿宋" w:cs="Times New Roman" w:hint="eastAsia"/>
          <w:color w:val="000000"/>
          <w:sz w:val="32"/>
          <w:szCs w:val="32"/>
        </w:rPr>
        <w:t>年</w:t>
      </w:r>
      <w:r w:rsidR="005A7C9B">
        <w:rPr>
          <w:rFonts w:ascii="仿宋" w:eastAsia="仿宋" w:hAnsi="仿宋" w:cs="Times New Roman" w:hint="eastAsia"/>
          <w:color w:val="000000"/>
          <w:sz w:val="32"/>
          <w:szCs w:val="32"/>
        </w:rPr>
        <w:t>1</w:t>
      </w:r>
      <w:r>
        <w:rPr>
          <w:rFonts w:ascii="仿宋" w:eastAsia="仿宋" w:hAnsi="仿宋" w:cs="Times New Roman" w:hint="eastAsia"/>
          <w:color w:val="000000"/>
          <w:sz w:val="32"/>
          <w:szCs w:val="32"/>
        </w:rPr>
        <w:t>月</w:t>
      </w:r>
      <w:r w:rsidRPr="00075F16">
        <w:rPr>
          <w:rFonts w:ascii="仿宋" w:eastAsia="仿宋" w:hAnsi="仿宋" w:cs="Times New Roman"/>
          <w:color w:val="000000"/>
          <w:sz w:val="32"/>
          <w:szCs w:val="32"/>
        </w:rPr>
        <w:t>启动，</w:t>
      </w:r>
      <w:r>
        <w:rPr>
          <w:rFonts w:ascii="仿宋" w:eastAsia="仿宋" w:hAnsi="仿宋" w:cs="Times New Roman" w:hint="eastAsia"/>
          <w:color w:val="000000"/>
          <w:sz w:val="32"/>
          <w:szCs w:val="32"/>
        </w:rPr>
        <w:t>2020年</w:t>
      </w:r>
      <w:r w:rsidR="005A7C9B">
        <w:rPr>
          <w:rFonts w:ascii="仿宋" w:eastAsia="仿宋" w:hAnsi="仿宋" w:cs="Times New Roman" w:hint="eastAsia"/>
          <w:color w:val="000000"/>
          <w:sz w:val="32"/>
          <w:szCs w:val="32"/>
        </w:rPr>
        <w:t>5</w:t>
      </w:r>
      <w:r>
        <w:rPr>
          <w:rFonts w:ascii="仿宋" w:eastAsia="仿宋" w:hAnsi="仿宋" w:cs="Times New Roman" w:hint="eastAsia"/>
          <w:color w:val="000000"/>
          <w:sz w:val="32"/>
          <w:szCs w:val="32"/>
        </w:rPr>
        <w:t>月形成</w:t>
      </w:r>
      <w:r>
        <w:rPr>
          <w:rFonts w:ascii="仿宋" w:eastAsia="仿宋" w:hAnsi="仿宋" w:cs="Times New Roman"/>
          <w:color w:val="000000"/>
          <w:sz w:val="32"/>
          <w:szCs w:val="32"/>
        </w:rPr>
        <w:t>初稿</w:t>
      </w:r>
      <w:r w:rsidRPr="00075F16">
        <w:rPr>
          <w:rFonts w:ascii="仿宋" w:eastAsia="仿宋" w:hAnsi="仿宋" w:cs="Times New Roman" w:hint="eastAsia"/>
          <w:color w:val="000000"/>
          <w:sz w:val="32"/>
          <w:szCs w:val="32"/>
        </w:rPr>
        <w:t>，</w:t>
      </w:r>
      <w:r>
        <w:rPr>
          <w:rFonts w:ascii="仿宋" w:eastAsia="仿宋" w:hAnsi="仿宋" w:cs="Times New Roman" w:hint="eastAsia"/>
          <w:color w:val="000000"/>
          <w:sz w:val="32"/>
          <w:szCs w:val="32"/>
        </w:rPr>
        <w:t>经</w:t>
      </w:r>
      <w:r w:rsidR="005A7C9B">
        <w:rPr>
          <w:rFonts w:ascii="仿宋" w:eastAsia="仿宋" w:hAnsi="仿宋" w:cs="Times New Roman" w:hint="eastAsia"/>
          <w:color w:val="000000"/>
          <w:sz w:val="32"/>
          <w:szCs w:val="32"/>
        </w:rPr>
        <w:t>药品审评</w:t>
      </w:r>
      <w:r>
        <w:rPr>
          <w:rFonts w:ascii="仿宋" w:eastAsia="仿宋" w:hAnsi="仿宋" w:cs="Times New Roman"/>
          <w:color w:val="000000"/>
          <w:sz w:val="32"/>
          <w:szCs w:val="32"/>
        </w:rPr>
        <w:t>中心内部</w:t>
      </w:r>
      <w:r>
        <w:rPr>
          <w:rFonts w:ascii="仿宋" w:eastAsia="仿宋" w:hAnsi="仿宋" w:cs="Times New Roman" w:hint="eastAsia"/>
          <w:color w:val="000000"/>
          <w:sz w:val="32"/>
          <w:szCs w:val="32"/>
        </w:rPr>
        <w:t>讨论，</w:t>
      </w:r>
      <w:r>
        <w:rPr>
          <w:rFonts w:ascii="仿宋" w:eastAsia="仿宋" w:hAnsi="仿宋" w:cs="Times New Roman"/>
          <w:color w:val="000000"/>
          <w:sz w:val="32"/>
          <w:szCs w:val="32"/>
        </w:rPr>
        <w:t>技术委员会审核，</w:t>
      </w:r>
      <w:r>
        <w:rPr>
          <w:rFonts w:ascii="仿宋" w:eastAsia="仿宋" w:hAnsi="仿宋" w:cs="Times New Roman" w:hint="eastAsia"/>
          <w:color w:val="000000"/>
          <w:sz w:val="32"/>
          <w:szCs w:val="32"/>
        </w:rPr>
        <w:t>征求</w:t>
      </w:r>
      <w:r>
        <w:rPr>
          <w:rFonts w:ascii="仿宋" w:eastAsia="仿宋" w:hAnsi="仿宋" w:cs="Times New Roman"/>
          <w:color w:val="000000"/>
          <w:sz w:val="32"/>
          <w:szCs w:val="32"/>
        </w:rPr>
        <w:t>部分</w:t>
      </w:r>
      <w:r w:rsidR="005A7C9B">
        <w:rPr>
          <w:rFonts w:ascii="仿宋" w:eastAsia="仿宋" w:hAnsi="仿宋" w:cs="Times New Roman" w:hint="eastAsia"/>
          <w:color w:val="000000"/>
          <w:sz w:val="32"/>
          <w:szCs w:val="32"/>
        </w:rPr>
        <w:t>业内专家和非处方药研发企业的</w:t>
      </w:r>
      <w:r w:rsidRPr="00882409">
        <w:rPr>
          <w:rFonts w:ascii="仿宋" w:eastAsia="仿宋" w:hAnsi="仿宋" w:cs="Times New Roman" w:hint="eastAsia"/>
          <w:color w:val="000000"/>
          <w:sz w:val="32"/>
          <w:szCs w:val="32"/>
        </w:rPr>
        <w:t>意见后</w:t>
      </w:r>
      <w:r>
        <w:rPr>
          <w:rFonts w:ascii="仿宋" w:eastAsia="仿宋" w:hAnsi="仿宋" w:cs="Times New Roman"/>
          <w:color w:val="000000"/>
          <w:sz w:val="32"/>
          <w:szCs w:val="32"/>
        </w:rPr>
        <w:t>，</w:t>
      </w:r>
      <w:r w:rsidRPr="00075F16">
        <w:rPr>
          <w:rFonts w:ascii="仿宋" w:eastAsia="仿宋" w:hAnsi="仿宋" w:cs="Times New Roman" w:hint="eastAsia"/>
          <w:color w:val="000000"/>
          <w:sz w:val="32"/>
          <w:szCs w:val="32"/>
        </w:rPr>
        <w:t>形成</w:t>
      </w:r>
      <w:r w:rsidRPr="00075F16">
        <w:rPr>
          <w:rFonts w:ascii="仿宋" w:eastAsia="仿宋" w:hAnsi="仿宋" w:cs="Times New Roman"/>
          <w:color w:val="000000"/>
          <w:sz w:val="32"/>
          <w:szCs w:val="32"/>
        </w:rPr>
        <w:t>征求意见稿。</w:t>
      </w:r>
    </w:p>
    <w:p w:rsidR="00FF026D" w:rsidRPr="00075F16" w:rsidRDefault="00FF026D" w:rsidP="00FF026D">
      <w:pPr>
        <w:ind w:firstLineChars="196" w:firstLine="630"/>
        <w:rPr>
          <w:rFonts w:ascii="仿宋" w:eastAsia="仿宋" w:hAnsi="仿宋" w:cs="Times New Roman"/>
          <w:b/>
          <w:color w:val="000000"/>
          <w:sz w:val="32"/>
          <w:szCs w:val="32"/>
        </w:rPr>
      </w:pPr>
      <w:r w:rsidRPr="00075F16">
        <w:rPr>
          <w:rFonts w:ascii="仿宋" w:eastAsia="仿宋" w:hAnsi="仿宋" w:cs="Times New Roman" w:hint="eastAsia"/>
          <w:b/>
          <w:color w:val="000000"/>
          <w:sz w:val="32"/>
          <w:szCs w:val="32"/>
        </w:rPr>
        <w:t>三、主要内容与说明</w:t>
      </w:r>
    </w:p>
    <w:p w:rsidR="00FF026D" w:rsidRPr="001A3392" w:rsidRDefault="00FF026D" w:rsidP="005A7C9B">
      <w:pPr>
        <w:ind w:firstLineChars="200" w:firstLine="640"/>
      </w:pPr>
      <w:r w:rsidRPr="00882409">
        <w:rPr>
          <w:rFonts w:ascii="仿宋" w:eastAsia="仿宋" w:hAnsi="仿宋" w:cs="Times New Roman" w:hint="eastAsia"/>
          <w:color w:val="000000"/>
          <w:sz w:val="32"/>
          <w:szCs w:val="32"/>
        </w:rPr>
        <w:t>本指导原则</w:t>
      </w:r>
      <w:r w:rsidR="005A7C9B">
        <w:rPr>
          <w:rFonts w:ascii="仿宋" w:eastAsia="仿宋" w:hAnsi="仿宋" w:cs="Times New Roman" w:hint="eastAsia"/>
          <w:color w:val="000000"/>
          <w:sz w:val="32"/>
          <w:szCs w:val="32"/>
        </w:rPr>
        <w:t>包括概述、总体考虑、技术要求、附表和附则章节，结合化学药品非处方药的特点，从药学、药理毒理学、临床药理学、临床方面分别阐述了研究与评价的一般原则。在附表中详细列出了针对不同申报情形的研究要求。</w:t>
      </w:r>
    </w:p>
    <w:p w:rsidR="00D34634" w:rsidRPr="00FF026D" w:rsidRDefault="00D34634" w:rsidP="00FF026D">
      <w:pPr>
        <w:ind w:firstLineChars="175" w:firstLine="368"/>
      </w:pPr>
    </w:p>
    <w:sectPr w:rsidR="00D34634" w:rsidRPr="00FF026D">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4A0" w:rsidRDefault="004674A0" w:rsidP="00075F16">
      <w:r>
        <w:separator/>
      </w:r>
    </w:p>
  </w:endnote>
  <w:endnote w:type="continuationSeparator" w:id="0">
    <w:p w:rsidR="004674A0" w:rsidRDefault="004674A0" w:rsidP="0007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F16" w:rsidRDefault="00075F16">
    <w:pPr>
      <w:pStyle w:val="a5"/>
      <w:framePr w:wrap="around" w:vAnchor="text" w:hAnchor="margin" w:xAlign="center" w:y="1"/>
      <w:rPr>
        <w:rStyle w:val="a7"/>
      </w:rPr>
    </w:pPr>
    <w:r>
      <w:fldChar w:fldCharType="begin"/>
    </w:r>
    <w:r>
      <w:rPr>
        <w:rStyle w:val="a7"/>
      </w:rPr>
      <w:instrText xml:space="preserve">PAGE  </w:instrText>
    </w:r>
    <w:r>
      <w:fldChar w:fldCharType="end"/>
    </w:r>
  </w:p>
  <w:p w:rsidR="00075F16" w:rsidRDefault="00075F1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400426"/>
      <w:docPartObj>
        <w:docPartGallery w:val="Page Numbers (Bottom of Page)"/>
        <w:docPartUnique/>
      </w:docPartObj>
    </w:sdtPr>
    <w:sdtEndPr>
      <w:rPr>
        <w:sz w:val="28"/>
        <w:szCs w:val="28"/>
      </w:rPr>
    </w:sdtEndPr>
    <w:sdtContent>
      <w:p w:rsidR="00075F16" w:rsidRPr="00CD13E0" w:rsidRDefault="00075F16">
        <w:pPr>
          <w:pStyle w:val="a5"/>
          <w:jc w:val="center"/>
          <w:rPr>
            <w:sz w:val="28"/>
            <w:szCs w:val="28"/>
          </w:rPr>
        </w:pPr>
        <w:r w:rsidRPr="00CD13E0">
          <w:rPr>
            <w:sz w:val="28"/>
            <w:szCs w:val="28"/>
          </w:rPr>
          <w:fldChar w:fldCharType="begin"/>
        </w:r>
        <w:r w:rsidRPr="00CD13E0">
          <w:rPr>
            <w:sz w:val="28"/>
            <w:szCs w:val="28"/>
          </w:rPr>
          <w:instrText>PAGE   \* MERGEFORMAT</w:instrText>
        </w:r>
        <w:r w:rsidRPr="00CD13E0">
          <w:rPr>
            <w:sz w:val="28"/>
            <w:szCs w:val="28"/>
          </w:rPr>
          <w:fldChar w:fldCharType="separate"/>
        </w:r>
        <w:r w:rsidR="004674A0" w:rsidRPr="004674A0">
          <w:rPr>
            <w:noProof/>
            <w:sz w:val="28"/>
            <w:szCs w:val="28"/>
            <w:lang w:val="zh-CN"/>
          </w:rPr>
          <w:t>1</w:t>
        </w:r>
        <w:r w:rsidRPr="00CD13E0">
          <w:rPr>
            <w:sz w:val="28"/>
            <w:szCs w:val="28"/>
          </w:rPr>
          <w:fldChar w:fldCharType="end"/>
        </w:r>
      </w:p>
    </w:sdtContent>
  </w:sdt>
  <w:p w:rsidR="00075F16" w:rsidRDefault="00075F1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4A0" w:rsidRDefault="004674A0" w:rsidP="00075F16">
      <w:r>
        <w:separator/>
      </w:r>
    </w:p>
  </w:footnote>
  <w:footnote w:type="continuationSeparator" w:id="0">
    <w:p w:rsidR="004674A0" w:rsidRDefault="004674A0" w:rsidP="00075F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7483"/>
    <w:multiLevelType w:val="singleLevel"/>
    <w:tmpl w:val="17957483"/>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7A3"/>
    <w:rsid w:val="000034AB"/>
    <w:rsid w:val="00021D4F"/>
    <w:rsid w:val="00030CE0"/>
    <w:rsid w:val="0004539E"/>
    <w:rsid w:val="00051927"/>
    <w:rsid w:val="00056F96"/>
    <w:rsid w:val="00063684"/>
    <w:rsid w:val="00075F16"/>
    <w:rsid w:val="00092970"/>
    <w:rsid w:val="000A3D1E"/>
    <w:rsid w:val="000C42A8"/>
    <w:rsid w:val="000D5644"/>
    <w:rsid w:val="000F22A4"/>
    <w:rsid w:val="00105592"/>
    <w:rsid w:val="00116607"/>
    <w:rsid w:val="001179D9"/>
    <w:rsid w:val="00132177"/>
    <w:rsid w:val="001339C1"/>
    <w:rsid w:val="00136B79"/>
    <w:rsid w:val="00141B5E"/>
    <w:rsid w:val="00145CDD"/>
    <w:rsid w:val="0016110D"/>
    <w:rsid w:val="00162337"/>
    <w:rsid w:val="00164A89"/>
    <w:rsid w:val="00170779"/>
    <w:rsid w:val="00181C2E"/>
    <w:rsid w:val="001A3392"/>
    <w:rsid w:val="001A5024"/>
    <w:rsid w:val="001A57A9"/>
    <w:rsid w:val="001C668C"/>
    <w:rsid w:val="001E0C2E"/>
    <w:rsid w:val="001E11E7"/>
    <w:rsid w:val="001F2CCF"/>
    <w:rsid w:val="001F4940"/>
    <w:rsid w:val="00203638"/>
    <w:rsid w:val="00242662"/>
    <w:rsid w:val="0025060E"/>
    <w:rsid w:val="00252786"/>
    <w:rsid w:val="00262D7F"/>
    <w:rsid w:val="00272EEF"/>
    <w:rsid w:val="002837C8"/>
    <w:rsid w:val="002902BA"/>
    <w:rsid w:val="002A5EE7"/>
    <w:rsid w:val="002D008B"/>
    <w:rsid w:val="002D4CA9"/>
    <w:rsid w:val="002F2FB8"/>
    <w:rsid w:val="002F30E5"/>
    <w:rsid w:val="002F7D8B"/>
    <w:rsid w:val="00300806"/>
    <w:rsid w:val="00314F69"/>
    <w:rsid w:val="00321F79"/>
    <w:rsid w:val="0032336D"/>
    <w:rsid w:val="0032492F"/>
    <w:rsid w:val="003264EC"/>
    <w:rsid w:val="00327EA3"/>
    <w:rsid w:val="003345F9"/>
    <w:rsid w:val="00335E3F"/>
    <w:rsid w:val="00336F79"/>
    <w:rsid w:val="0036377E"/>
    <w:rsid w:val="003656D2"/>
    <w:rsid w:val="00381E4F"/>
    <w:rsid w:val="00390836"/>
    <w:rsid w:val="003A3F76"/>
    <w:rsid w:val="003A5176"/>
    <w:rsid w:val="003E0795"/>
    <w:rsid w:val="00403F19"/>
    <w:rsid w:val="00404D62"/>
    <w:rsid w:val="0042300D"/>
    <w:rsid w:val="00450E02"/>
    <w:rsid w:val="00452E41"/>
    <w:rsid w:val="00454B56"/>
    <w:rsid w:val="00464311"/>
    <w:rsid w:val="004674A0"/>
    <w:rsid w:val="00472C54"/>
    <w:rsid w:val="00480D08"/>
    <w:rsid w:val="00485B27"/>
    <w:rsid w:val="00492C9C"/>
    <w:rsid w:val="004A3F47"/>
    <w:rsid w:val="004A448E"/>
    <w:rsid w:val="004A7692"/>
    <w:rsid w:val="004C04DF"/>
    <w:rsid w:val="004C0C38"/>
    <w:rsid w:val="004C1E04"/>
    <w:rsid w:val="004D10B6"/>
    <w:rsid w:val="004D4C7C"/>
    <w:rsid w:val="004D539D"/>
    <w:rsid w:val="004D70A5"/>
    <w:rsid w:val="00521602"/>
    <w:rsid w:val="0052309E"/>
    <w:rsid w:val="00532FEE"/>
    <w:rsid w:val="005407A3"/>
    <w:rsid w:val="00541369"/>
    <w:rsid w:val="005623B3"/>
    <w:rsid w:val="0057462B"/>
    <w:rsid w:val="00593563"/>
    <w:rsid w:val="00594B31"/>
    <w:rsid w:val="005A0798"/>
    <w:rsid w:val="005A2C81"/>
    <w:rsid w:val="005A4638"/>
    <w:rsid w:val="005A7C9B"/>
    <w:rsid w:val="005C2A8F"/>
    <w:rsid w:val="005D3E4F"/>
    <w:rsid w:val="005D50DF"/>
    <w:rsid w:val="005D6A6E"/>
    <w:rsid w:val="005E41E6"/>
    <w:rsid w:val="005E43BF"/>
    <w:rsid w:val="005F100D"/>
    <w:rsid w:val="006001D5"/>
    <w:rsid w:val="0060635D"/>
    <w:rsid w:val="00606BBA"/>
    <w:rsid w:val="00611D50"/>
    <w:rsid w:val="00612E80"/>
    <w:rsid w:val="00614004"/>
    <w:rsid w:val="006149B7"/>
    <w:rsid w:val="00627DB7"/>
    <w:rsid w:val="00653600"/>
    <w:rsid w:val="00673AF5"/>
    <w:rsid w:val="00684140"/>
    <w:rsid w:val="006869B2"/>
    <w:rsid w:val="00692EC7"/>
    <w:rsid w:val="00693BA3"/>
    <w:rsid w:val="006952C5"/>
    <w:rsid w:val="006A247D"/>
    <w:rsid w:val="006A5370"/>
    <w:rsid w:val="006B1641"/>
    <w:rsid w:val="006B1B9B"/>
    <w:rsid w:val="006B40C1"/>
    <w:rsid w:val="006C1B45"/>
    <w:rsid w:val="006C3FDA"/>
    <w:rsid w:val="006C533E"/>
    <w:rsid w:val="006C54D5"/>
    <w:rsid w:val="006C5E65"/>
    <w:rsid w:val="006C6408"/>
    <w:rsid w:val="006E2EF0"/>
    <w:rsid w:val="006E462C"/>
    <w:rsid w:val="006E4DC3"/>
    <w:rsid w:val="006F505C"/>
    <w:rsid w:val="00704E87"/>
    <w:rsid w:val="007075ED"/>
    <w:rsid w:val="00707D4F"/>
    <w:rsid w:val="00721303"/>
    <w:rsid w:val="00734E5F"/>
    <w:rsid w:val="00741629"/>
    <w:rsid w:val="00744049"/>
    <w:rsid w:val="00745F67"/>
    <w:rsid w:val="00754EA0"/>
    <w:rsid w:val="007836AA"/>
    <w:rsid w:val="007841AD"/>
    <w:rsid w:val="007877A3"/>
    <w:rsid w:val="00791AB4"/>
    <w:rsid w:val="00797400"/>
    <w:rsid w:val="007C1569"/>
    <w:rsid w:val="007E0A40"/>
    <w:rsid w:val="007E2BDD"/>
    <w:rsid w:val="007F11FF"/>
    <w:rsid w:val="007F1CDB"/>
    <w:rsid w:val="007F7576"/>
    <w:rsid w:val="008023C5"/>
    <w:rsid w:val="00816011"/>
    <w:rsid w:val="008307AF"/>
    <w:rsid w:val="00836001"/>
    <w:rsid w:val="008411BD"/>
    <w:rsid w:val="00845228"/>
    <w:rsid w:val="00846E31"/>
    <w:rsid w:val="00850865"/>
    <w:rsid w:val="00856CE5"/>
    <w:rsid w:val="00863FCE"/>
    <w:rsid w:val="00864BD0"/>
    <w:rsid w:val="00875958"/>
    <w:rsid w:val="00883CFF"/>
    <w:rsid w:val="0089483C"/>
    <w:rsid w:val="008A509E"/>
    <w:rsid w:val="008B1C03"/>
    <w:rsid w:val="008C60E8"/>
    <w:rsid w:val="008D2777"/>
    <w:rsid w:val="008D5151"/>
    <w:rsid w:val="008D76E4"/>
    <w:rsid w:val="008E12FE"/>
    <w:rsid w:val="00920AC1"/>
    <w:rsid w:val="009218D9"/>
    <w:rsid w:val="00933078"/>
    <w:rsid w:val="00942942"/>
    <w:rsid w:val="0094591F"/>
    <w:rsid w:val="00947E8E"/>
    <w:rsid w:val="00952BFC"/>
    <w:rsid w:val="00987B37"/>
    <w:rsid w:val="00993F54"/>
    <w:rsid w:val="009A6713"/>
    <w:rsid w:val="009B19BE"/>
    <w:rsid w:val="009B3F7B"/>
    <w:rsid w:val="009D1816"/>
    <w:rsid w:val="009D72CB"/>
    <w:rsid w:val="009E0239"/>
    <w:rsid w:val="009E2A7A"/>
    <w:rsid w:val="009E663E"/>
    <w:rsid w:val="00A10F3B"/>
    <w:rsid w:val="00A32EEA"/>
    <w:rsid w:val="00A5011F"/>
    <w:rsid w:val="00A60ACC"/>
    <w:rsid w:val="00A66423"/>
    <w:rsid w:val="00A777D4"/>
    <w:rsid w:val="00A85D16"/>
    <w:rsid w:val="00A91D9A"/>
    <w:rsid w:val="00A956C3"/>
    <w:rsid w:val="00AA26E0"/>
    <w:rsid w:val="00AB2803"/>
    <w:rsid w:val="00AC57DF"/>
    <w:rsid w:val="00AC67D6"/>
    <w:rsid w:val="00AC7944"/>
    <w:rsid w:val="00AD19CB"/>
    <w:rsid w:val="00AE5239"/>
    <w:rsid w:val="00AE5DB0"/>
    <w:rsid w:val="00AF00ED"/>
    <w:rsid w:val="00B02C4F"/>
    <w:rsid w:val="00B03039"/>
    <w:rsid w:val="00B14FD4"/>
    <w:rsid w:val="00B340F7"/>
    <w:rsid w:val="00B353ED"/>
    <w:rsid w:val="00B50043"/>
    <w:rsid w:val="00B56EE5"/>
    <w:rsid w:val="00B642F3"/>
    <w:rsid w:val="00B67609"/>
    <w:rsid w:val="00B74498"/>
    <w:rsid w:val="00B869C5"/>
    <w:rsid w:val="00B92073"/>
    <w:rsid w:val="00BA2E26"/>
    <w:rsid w:val="00BA5D4A"/>
    <w:rsid w:val="00BB097F"/>
    <w:rsid w:val="00BB6F10"/>
    <w:rsid w:val="00BD4B08"/>
    <w:rsid w:val="00BE13E7"/>
    <w:rsid w:val="00BE1D28"/>
    <w:rsid w:val="00BE55FC"/>
    <w:rsid w:val="00BF6E87"/>
    <w:rsid w:val="00BF7256"/>
    <w:rsid w:val="00C3116A"/>
    <w:rsid w:val="00C32097"/>
    <w:rsid w:val="00C417E0"/>
    <w:rsid w:val="00C41A55"/>
    <w:rsid w:val="00C52A5B"/>
    <w:rsid w:val="00C54BBE"/>
    <w:rsid w:val="00C7477B"/>
    <w:rsid w:val="00C829EB"/>
    <w:rsid w:val="00C8502F"/>
    <w:rsid w:val="00C85D14"/>
    <w:rsid w:val="00C87F6E"/>
    <w:rsid w:val="00C9139E"/>
    <w:rsid w:val="00C91773"/>
    <w:rsid w:val="00CB2E64"/>
    <w:rsid w:val="00CB33C3"/>
    <w:rsid w:val="00CB6A6E"/>
    <w:rsid w:val="00CC1055"/>
    <w:rsid w:val="00CD1698"/>
    <w:rsid w:val="00CD1B16"/>
    <w:rsid w:val="00CD3E8D"/>
    <w:rsid w:val="00CD6324"/>
    <w:rsid w:val="00CE1DE3"/>
    <w:rsid w:val="00CE25B1"/>
    <w:rsid w:val="00CE2965"/>
    <w:rsid w:val="00D16500"/>
    <w:rsid w:val="00D25CEB"/>
    <w:rsid w:val="00D34634"/>
    <w:rsid w:val="00D377B5"/>
    <w:rsid w:val="00D47D7F"/>
    <w:rsid w:val="00D51271"/>
    <w:rsid w:val="00D552BA"/>
    <w:rsid w:val="00D74D7E"/>
    <w:rsid w:val="00D93B8D"/>
    <w:rsid w:val="00DB629B"/>
    <w:rsid w:val="00DB7D1D"/>
    <w:rsid w:val="00DD06B3"/>
    <w:rsid w:val="00DD3CB9"/>
    <w:rsid w:val="00DE22F5"/>
    <w:rsid w:val="00DF130C"/>
    <w:rsid w:val="00E13CCC"/>
    <w:rsid w:val="00E178FB"/>
    <w:rsid w:val="00E23551"/>
    <w:rsid w:val="00E27AE5"/>
    <w:rsid w:val="00E3462D"/>
    <w:rsid w:val="00E37EF6"/>
    <w:rsid w:val="00E53551"/>
    <w:rsid w:val="00E61423"/>
    <w:rsid w:val="00E65269"/>
    <w:rsid w:val="00E7639E"/>
    <w:rsid w:val="00E8027A"/>
    <w:rsid w:val="00E8144F"/>
    <w:rsid w:val="00E92BC6"/>
    <w:rsid w:val="00E931DB"/>
    <w:rsid w:val="00E932DD"/>
    <w:rsid w:val="00E973F6"/>
    <w:rsid w:val="00EA2AE4"/>
    <w:rsid w:val="00EB4813"/>
    <w:rsid w:val="00ED7447"/>
    <w:rsid w:val="00EE390E"/>
    <w:rsid w:val="00EE5FDB"/>
    <w:rsid w:val="00EF2D70"/>
    <w:rsid w:val="00EF525A"/>
    <w:rsid w:val="00F04157"/>
    <w:rsid w:val="00F11BA1"/>
    <w:rsid w:val="00F23423"/>
    <w:rsid w:val="00F244F2"/>
    <w:rsid w:val="00F3186A"/>
    <w:rsid w:val="00F37A02"/>
    <w:rsid w:val="00F50030"/>
    <w:rsid w:val="00F53995"/>
    <w:rsid w:val="00F849EA"/>
    <w:rsid w:val="00F873AF"/>
    <w:rsid w:val="00FA7367"/>
    <w:rsid w:val="00FB4D5F"/>
    <w:rsid w:val="00FF026D"/>
    <w:rsid w:val="00FF30DC"/>
    <w:rsid w:val="00FF6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1544AD-1E24-4251-A78F-D3210E24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F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5F16"/>
    <w:rPr>
      <w:sz w:val="18"/>
      <w:szCs w:val="18"/>
    </w:rPr>
  </w:style>
  <w:style w:type="paragraph" w:styleId="a5">
    <w:name w:val="footer"/>
    <w:basedOn w:val="a"/>
    <w:link w:val="a6"/>
    <w:uiPriority w:val="99"/>
    <w:unhideWhenUsed/>
    <w:rsid w:val="00075F16"/>
    <w:pPr>
      <w:tabs>
        <w:tab w:val="center" w:pos="4153"/>
        <w:tab w:val="right" w:pos="8306"/>
      </w:tabs>
      <w:snapToGrid w:val="0"/>
      <w:jc w:val="left"/>
    </w:pPr>
    <w:rPr>
      <w:sz w:val="18"/>
      <w:szCs w:val="18"/>
    </w:rPr>
  </w:style>
  <w:style w:type="character" w:customStyle="1" w:styleId="a6">
    <w:name w:val="页脚 字符"/>
    <w:basedOn w:val="a0"/>
    <w:link w:val="a5"/>
    <w:uiPriority w:val="99"/>
    <w:rsid w:val="00075F16"/>
    <w:rPr>
      <w:sz w:val="18"/>
      <w:szCs w:val="18"/>
    </w:rPr>
  </w:style>
  <w:style w:type="character" w:styleId="a7">
    <w:name w:val="page number"/>
    <w:basedOn w:val="a0"/>
    <w:rsid w:val="00075F16"/>
  </w:style>
  <w:style w:type="paragraph" w:styleId="a8">
    <w:name w:val="Balloon Text"/>
    <w:basedOn w:val="a"/>
    <w:link w:val="a9"/>
    <w:uiPriority w:val="99"/>
    <w:semiHidden/>
    <w:unhideWhenUsed/>
    <w:rsid w:val="007F1CDB"/>
    <w:rPr>
      <w:sz w:val="18"/>
      <w:szCs w:val="18"/>
    </w:rPr>
  </w:style>
  <w:style w:type="character" w:customStyle="1" w:styleId="a9">
    <w:name w:val="批注框文本 字符"/>
    <w:basedOn w:val="a0"/>
    <w:link w:val="a8"/>
    <w:uiPriority w:val="99"/>
    <w:semiHidden/>
    <w:rsid w:val="007F1C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134</Words>
  <Characters>766</Characters>
  <Application>Microsoft Office Word</Application>
  <DocSecurity>0</DocSecurity>
  <Lines>6</Lines>
  <Paragraphs>1</Paragraphs>
  <ScaleCrop>false</ScaleCrop>
  <Company>Microsoft</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宋媛媛</dc:creator>
  <cp:keywords/>
  <dc:description/>
  <cp:lastModifiedBy>陈东梅</cp:lastModifiedBy>
  <cp:revision>40</cp:revision>
  <cp:lastPrinted>2020-04-22T01:23:00Z</cp:lastPrinted>
  <dcterms:created xsi:type="dcterms:W3CDTF">2019-06-20T06:25:00Z</dcterms:created>
  <dcterms:modified xsi:type="dcterms:W3CDTF">2020-07-06T05:59:00Z</dcterms:modified>
</cp:coreProperties>
</file>