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502B" w14:textId="48082B56" w:rsidR="009135FB" w:rsidRPr="001078D8" w:rsidRDefault="00220DCE" w:rsidP="006E067C">
      <w:pPr>
        <w:snapToGrid w:val="0"/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078D8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="009135FB" w:rsidRPr="001078D8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412EDE62" w14:textId="7FE268AD" w:rsidR="00E418BE" w:rsidRPr="001078D8" w:rsidRDefault="00E418BE" w:rsidP="00E26559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 w:rsidRPr="001078D8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化学仿制药参比制剂目录</w:t>
      </w:r>
      <w:r w:rsidR="002271AF" w:rsidRPr="001078D8">
        <w:rPr>
          <w:rFonts w:ascii="Times New Roman" w:eastAsia="方正小标宋简体" w:hAnsi="Times New Roman" w:cs="Times New Roman"/>
          <w:kern w:val="0"/>
          <w:sz w:val="36"/>
          <w:szCs w:val="36"/>
        </w:rPr>
        <w:t>（</w:t>
      </w:r>
      <w:r w:rsidR="00796090" w:rsidRPr="001078D8">
        <w:rPr>
          <w:rFonts w:ascii="Times New Roman" w:eastAsia="方正小标宋简体" w:hAnsi="Times New Roman" w:cs="Times New Roman"/>
          <w:kern w:val="0"/>
          <w:sz w:val="36"/>
          <w:szCs w:val="36"/>
        </w:rPr>
        <w:t>第</w:t>
      </w:r>
      <w:r w:rsidR="00477A7E" w:rsidRPr="001078D8">
        <w:rPr>
          <w:rFonts w:ascii="Times New Roman" w:eastAsia="方正小标宋简体" w:hAnsi="Times New Roman" w:cs="Times New Roman"/>
          <w:kern w:val="0"/>
          <w:sz w:val="36"/>
          <w:szCs w:val="36"/>
        </w:rPr>
        <w:t>三十八</w:t>
      </w:r>
      <w:r w:rsidR="00555C4E" w:rsidRPr="001078D8">
        <w:rPr>
          <w:rFonts w:ascii="Times New Roman" w:eastAsia="方正小标宋简体" w:hAnsi="Times New Roman" w:cs="Times New Roman"/>
          <w:kern w:val="0"/>
          <w:sz w:val="36"/>
          <w:szCs w:val="36"/>
        </w:rPr>
        <w:t>批</w:t>
      </w:r>
      <w:r w:rsidR="002271AF" w:rsidRPr="001078D8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="002271AF" w:rsidRPr="001078D8">
        <w:rPr>
          <w:rFonts w:ascii="Times New Roman" w:eastAsia="方正小标宋简体" w:hAnsi="Times New Roman" w:cs="Times New Roman"/>
          <w:sz w:val="36"/>
          <w:szCs w:val="36"/>
        </w:rPr>
        <w:t>（</w:t>
      </w:r>
      <w:r w:rsidRPr="001078D8">
        <w:rPr>
          <w:rFonts w:ascii="Times New Roman" w:eastAsia="方正小标宋简体" w:hAnsi="Times New Roman" w:cs="Times New Roman"/>
          <w:sz w:val="36"/>
          <w:szCs w:val="36"/>
        </w:rPr>
        <w:t>征求意见稿</w:t>
      </w:r>
      <w:r w:rsidR="002271AF" w:rsidRPr="001078D8">
        <w:rPr>
          <w:rFonts w:ascii="Times New Roman" w:eastAsia="方正小标宋简体" w:hAnsi="Times New Roman" w:cs="Times New Roman"/>
          <w:sz w:val="36"/>
          <w:szCs w:val="36"/>
        </w:rPr>
        <w:t>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2693"/>
        <w:gridCol w:w="2410"/>
        <w:gridCol w:w="1984"/>
        <w:gridCol w:w="1559"/>
      </w:tblGrid>
      <w:tr w:rsidR="00784200" w:rsidRPr="001078D8" w14:paraId="27D67ECD" w14:textId="77777777" w:rsidTr="003D7C9F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bookmarkEnd w:id="0"/>
          <w:p w14:paraId="62C39299" w14:textId="7D1B88A2" w:rsidR="00784200" w:rsidRPr="001078D8" w:rsidRDefault="00784200" w:rsidP="00C118A6">
            <w:pPr>
              <w:widowControl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BF205" w14:textId="75CF8155" w:rsidR="00784200" w:rsidRPr="001078D8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55A7" w14:textId="3836BE06" w:rsidR="00784200" w:rsidRPr="001078D8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2A51B" w14:textId="088B219A" w:rsidR="00784200" w:rsidRPr="001078D8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4FAE9" w14:textId="4D8E2D4C" w:rsidR="00784200" w:rsidRPr="001078D8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B161" w14:textId="0EC77869" w:rsidR="00784200" w:rsidRPr="001078D8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3D671" w14:textId="3B703CDE" w:rsidR="00784200" w:rsidRPr="001078D8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1078D8" w:rsidRPr="001078D8" w14:paraId="27CE3CE0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4943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7086" w14:textId="1E1496E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噻托溴铵奥达特罗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吸入喷雾剂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8EB6" w14:textId="5CF26E82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Tiotropium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Bromide and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Olodaterol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Inhalation Spray/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Spiolto</w:t>
            </w:r>
            <w:proofErr w:type="spell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（思合华）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A148" w14:textId="49C11F6F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每瓶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60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喷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每喷含噻托铵</w:t>
            </w:r>
            <w:proofErr w:type="gram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2.5μg(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相当于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噻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托溴铵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一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水合物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3.124μg)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和奥达特罗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2.5μg(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相当于盐酸奥达特罗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2.736μg)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ED5F" w14:textId="737EB6E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Boehringer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Ingelheim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International GmbH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216A" w14:textId="6660B5B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B96C" w14:textId="1FAB7C3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1078D8" w:rsidRPr="001078D8" w14:paraId="56EC799B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32A5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B28B" w14:textId="2432F1D7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噻托溴铵喷雾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46BB" w14:textId="7E5C459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Tiotropium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Bromide Spray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2B4E" w14:textId="3335946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每瓶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60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喷，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每喷含噻托铵</w:t>
            </w:r>
            <w:proofErr w:type="gram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2.5μg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，药液浓度含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噻托铵</w:t>
            </w:r>
            <w:proofErr w:type="gram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0.2262mg/ml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3218" w14:textId="7BB5E272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Boehringer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Ingelheim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International GmbH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85A1" w14:textId="75A75D3F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5332" w14:textId="184B0A7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1078D8" w:rsidRPr="001078D8" w14:paraId="37871584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7C23C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4439" w14:textId="0AB9FA0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硝酸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咪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康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唑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阴道软胶囊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D230A" w14:textId="114446B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Miconazole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Nitrate Vaginal Soft Capsules/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Gyno-Daktarin</w:t>
            </w:r>
            <w:proofErr w:type="spell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（达克宁）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5F26D" w14:textId="31737DA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2177E" w14:textId="114FBED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Janssen-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Cilag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N.V.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BF2B8" w14:textId="054910E1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B74A8" w14:textId="678B4CEF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1078D8" w:rsidRPr="001078D8" w14:paraId="1027DA9D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2459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3987" w14:textId="0E1A477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硝酸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咪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康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唑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阴道软胶囊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F006" w14:textId="644FF91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Miconazole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Nitrate Vaginal Soft Capsules/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Gyno-Daktarin</w:t>
            </w:r>
            <w:proofErr w:type="spell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（达克宁）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D2F2" w14:textId="062B8C63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1.2g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73AB" w14:textId="7CD93388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Janssen-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Cilag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N.V.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3438" w14:textId="55EF1C0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4507" w14:textId="7B469BD1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1078D8" w:rsidRPr="001078D8" w14:paraId="26EDA6E5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6DEF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4CCF" w14:textId="1B64C12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丁丙诺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啡</w:t>
            </w:r>
            <w:proofErr w:type="gramEnd"/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纳洛酮舌下片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52A6" w14:textId="6C96865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Buprenorphine Hydrochloride and Naloxone Hydrochloride Sublingual Tablets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A603" w14:textId="37B3DA1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丁丙诺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啡</w:t>
            </w:r>
            <w:proofErr w:type="gramEnd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2mg/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纳洛酮</w:t>
            </w:r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0.5mg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（均以碱基计）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96BC" w14:textId="2CF36EB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Indivior</w:t>
            </w:r>
            <w:proofErr w:type="spellEnd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UK Limited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7560" w14:textId="2AC93C1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BDDD" w14:textId="68C5350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1078D8" w:rsidRPr="001078D8" w14:paraId="218137FC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7058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8894" w14:textId="134FF9E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丁丙诺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啡</w:t>
            </w:r>
            <w:proofErr w:type="gramEnd"/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纳洛酮舌下片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80D7" w14:textId="0B0C3FEF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Buprenorphine Hydrochloride and Naloxone Hydrochloride Sublingual Tablets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813D" w14:textId="67D841F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丁丙诺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啡</w:t>
            </w:r>
            <w:proofErr w:type="gramEnd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8mg/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纳洛酮</w:t>
            </w:r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2mg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（均以碱基计）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BF6D" w14:textId="360C6F2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Indivior</w:t>
            </w:r>
            <w:proofErr w:type="spellEnd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UK Limited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9043" w14:textId="1B26EC12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481D" w14:textId="5DB3E12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1078D8" w:rsidRPr="001078D8" w14:paraId="12421B69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81E8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866F" w14:textId="13131E0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羧甲基纤维素钠滴眼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328F" w14:textId="15DA0AB4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Carboxymethylcellulose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Sodium Eye Drops / Refresh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Celluvisc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5073" w14:textId="724EFC5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0.4ml:2mg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FD9B" w14:textId="780C5CD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Allergan Pharmaceuticals Ireland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F521" w14:textId="5A17020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DA51" w14:textId="2B233C86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1078D8" w:rsidRPr="001078D8" w14:paraId="3AA6D523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57A6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403C" w14:textId="7BB55C46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倍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他米松注射液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4233" w14:textId="1A366CF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Compound Betamethasone Injection/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得宝松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5081" w14:textId="42B41DE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1ml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：二丙酸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倍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他米松（以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倍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他米松计）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5mg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倍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他米松磷酸钠（以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倍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他米松计）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449F" w14:textId="20511151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MSD Merck Sharp &amp;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Dohme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66D8" w14:textId="0E4BA2A4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5991" w14:textId="6ED7DF7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1078D8" w:rsidRPr="001078D8" w14:paraId="4AC7AB36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61CE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D741" w14:textId="62F5DDE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用全氟丁烷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B408" w14:textId="436AFAD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Perflubutane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Microspheres for Injection/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Sonazoid</w:t>
            </w:r>
            <w:proofErr w:type="spell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示卓安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3B18" w14:textId="44B9480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每瓶中含微球的体积为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FDA9" w14:textId="517286F6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GE Healthcare AS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EC46" w14:textId="5A634EA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15E4" w14:textId="3A39D808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1078D8" w:rsidRPr="001078D8" w14:paraId="41AFAA02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1938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7B0B" w14:textId="1A0DD821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索磷维伏片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3EF2" w14:textId="65C65F9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333333"/>
                <w:sz w:val="24"/>
                <w:szCs w:val="24"/>
              </w:rPr>
              <w:t>Sofosbuvir</w:t>
            </w:r>
            <w:proofErr w:type="spellEnd"/>
            <w:r w:rsidRPr="001078D8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，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333333"/>
                <w:sz w:val="24"/>
                <w:szCs w:val="24"/>
              </w:rPr>
              <w:t>Velpatasvir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333333"/>
                <w:sz w:val="24"/>
                <w:szCs w:val="24"/>
              </w:rPr>
              <w:t xml:space="preserve"> and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333333"/>
                <w:sz w:val="24"/>
                <w:szCs w:val="24"/>
              </w:rPr>
              <w:t>Voxilaprevir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333333"/>
                <w:sz w:val="24"/>
                <w:szCs w:val="24"/>
              </w:rPr>
              <w:t xml:space="preserve"> tablets/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333333"/>
                <w:sz w:val="24"/>
                <w:szCs w:val="24"/>
              </w:rPr>
              <w:t>Vosevi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333333"/>
                <w:sz w:val="24"/>
                <w:szCs w:val="24"/>
              </w:rPr>
              <w:t>(</w:t>
            </w:r>
            <w:r w:rsidRPr="001078D8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沃士韦</w:t>
            </w:r>
            <w:r w:rsidRPr="001078D8">
              <w:rPr>
                <w:rFonts w:ascii="Times New Roman" w:eastAsia="等线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9D9B" w14:textId="12A4407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400mg 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索磷布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韦、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100mg 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维帕他韦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100mg 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伏西瑞韦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3F64" w14:textId="35468E63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Gilead Sciences Ireland UC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B161" w14:textId="699E6D7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85BF" w14:textId="4E41C36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1078D8" w:rsidRPr="001078D8" w14:paraId="059B9494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DC5B" w14:textId="306CC44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496D" w14:textId="432E60A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复合维生素片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C78B" w14:textId="5138F5A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Vitamin Complex Tablets/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Elevit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Pronatal</w:t>
            </w:r>
            <w:proofErr w:type="spell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（爱乐维）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FD88" w14:textId="4B1A0848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复方制剂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22AC" w14:textId="1C59470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Bayer S.A.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F946" w14:textId="4500CFF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D5A2" w14:textId="39D759E4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1078D8" w:rsidRPr="001078D8" w14:paraId="07CCB594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9462" w14:textId="4F554AEC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4A4B" w14:textId="453AB42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盐酸奥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他定鼻喷雾剂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FF27" w14:textId="7426C2CA" w:rsidR="001078D8" w:rsidRPr="001078D8" w:rsidRDefault="00ED0685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Olopatadine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</w:t>
            </w:r>
            <w:r w:rsidR="001078D8"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Nasal Spray/</w:t>
            </w:r>
            <w:proofErr w:type="spellStart"/>
            <w:r w:rsidR="001078D8"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Patanase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6830" w14:textId="3B682ED7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0.665mg/spray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DE4B" w14:textId="0D14925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Novartis Pharmaceuticals Corp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A99B" w14:textId="4BE3A9A1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6849" w14:textId="383C87C1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1078D8" w:rsidRPr="001078D8" w14:paraId="3EFC0400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A84F" w14:textId="5F4EB3D1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CBB8" w14:textId="3A3D8FC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盐酸环丙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沙星滴眼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36B2" w14:textId="352811D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Ciprofloxacin </w:t>
            </w:r>
            <w:r w:rsidR="00ED0685"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Ophthalmic Solution/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Ciloxan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3763" w14:textId="03C5003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99F3" w14:textId="0B769AF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Novartis Pharmaceuticals Corp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AF9B" w14:textId="48BF1F6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AD37" w14:textId="1E4E7648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1078D8" w:rsidRPr="001078D8" w14:paraId="219634BE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58DA" w14:textId="4ADD1D4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8FC4" w14:textId="348F098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硫酸麻黄碱注射液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339D" w14:textId="690044C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Ephedrine Sulfate Injection/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Akovaz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C69B" w14:textId="58B06446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50mg/ml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0778" w14:textId="64BF65D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Exela</w:t>
            </w:r>
            <w:proofErr w:type="spellEnd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Pharma Sciences LLC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544C" w14:textId="0406A814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A8F2" w14:textId="3187A5C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728DE" w:rsidRPr="001078D8" w14:paraId="20BBE5E6" w14:textId="77777777" w:rsidTr="008728DE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959E2" w14:textId="77777777" w:rsidR="008728DE" w:rsidRPr="001078D8" w:rsidRDefault="008728DE" w:rsidP="008728DE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A11D0" w14:textId="7E89B1C1" w:rsidR="008728DE" w:rsidRPr="001078D8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艾考糊精腹膜透析液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A22D1" w14:textId="037547A2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Icodextrin</w:t>
            </w:r>
            <w:proofErr w:type="spellEnd"/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Peritoneal Dialysis Solution/</w:t>
            </w:r>
            <w:proofErr w:type="spellStart"/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Extraneal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685FE" w14:textId="75D55E42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7.5%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艾考糊精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2L/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袋、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2.5L/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F217D" w14:textId="372D1B55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4856F" w14:textId="587E4CB1" w:rsidR="008728DE" w:rsidRPr="001078D8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FE909" w14:textId="005100B7" w:rsidR="008728DE" w:rsidRPr="001078D8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728DE" w:rsidRPr="001078D8" w14:paraId="1694CCB4" w14:textId="77777777" w:rsidTr="008728DE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618F7" w14:textId="77777777" w:rsidR="008728DE" w:rsidRPr="001078D8" w:rsidRDefault="008728DE" w:rsidP="008728DE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87C2B" w14:textId="3E951ADD" w:rsidR="008728DE" w:rsidRPr="001078D8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艾考糊精腹膜透析液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05F8E" w14:textId="79345478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Icodextrin</w:t>
            </w:r>
            <w:proofErr w:type="spellEnd"/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Peritoneal Dialysis Solution/</w:t>
            </w:r>
            <w:proofErr w:type="spellStart"/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Extraneal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E8D93" w14:textId="79F23BAC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7.5%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艾考糊精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1.5L/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袋、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2L/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袋、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2.5L/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A02B6" w14:textId="04DFDCD8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A/S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7024D" w14:textId="1B280E82" w:rsidR="008728DE" w:rsidRPr="001078D8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01A11" w14:textId="6AC14201" w:rsidR="008728DE" w:rsidRPr="001078D8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8728DE" w:rsidRPr="001078D8" w14:paraId="4612E036" w14:textId="77777777" w:rsidTr="008728DE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D896" w14:textId="77777777" w:rsidR="008728DE" w:rsidRPr="001078D8" w:rsidRDefault="008728DE" w:rsidP="008728DE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6B6C1" w14:textId="50552F90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氨基酸（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）腹膜透析液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CFCC" w14:textId="6F0E85DF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Amino Acids (15) Peritoneal Dialysis Solution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99C1B" w14:textId="1B329EB2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2.0L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666DD" w14:textId="7FFECEAE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Ltd.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508D2" w14:textId="6D4BD601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046A4" w14:textId="115DDAAE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8728DE" w:rsidRPr="001078D8" w14:paraId="0CAE7F7F" w14:textId="77777777" w:rsidTr="008728DE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2D006" w14:textId="77777777" w:rsidR="008728DE" w:rsidRPr="001078D8" w:rsidRDefault="008728DE" w:rsidP="008728DE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33C04" w14:textId="589AF17E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氨基酸（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</w:t>
            </w: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）腹膜透析液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22405" w14:textId="4B2F5606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Amino Acids (15) Peritoneal Dialysis Solution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CA0FF" w14:textId="7204098E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90D90" w14:textId="1FEF8393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Ltd.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A0643" w14:textId="429762F6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EED9D" w14:textId="44BC58ED" w:rsidR="008728DE" w:rsidRPr="008728DE" w:rsidRDefault="008728DE" w:rsidP="008728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728D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1078D8" w:rsidRPr="001078D8" w14:paraId="4502C23D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14EC" w14:textId="1FA06C3D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688B" w14:textId="039544CB" w:rsidR="001078D8" w:rsidRPr="001078D8" w:rsidRDefault="001078D8" w:rsidP="008941E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麦芽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酚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铁胶囊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68ED" w14:textId="7C26E2C4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 w:rsidR="008941E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erric </w:t>
            </w:r>
            <w:proofErr w:type="spellStart"/>
            <w:r w:rsidR="008941E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Maltol</w:t>
            </w:r>
            <w:proofErr w:type="spellEnd"/>
            <w:r w:rsidR="008941E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Capsules 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Feraccru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0A10" w14:textId="2B2B9041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每片含铁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E9F7" w14:textId="480B03C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Norgine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B.V.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A6FD" w14:textId="5ECBC6DF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EDEF" w14:textId="7759AC26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1078D8" w:rsidRPr="001078D8" w14:paraId="7714342D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84E4" w14:textId="2B55AAC8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D36E" w14:textId="75E9C5F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氯甲西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泮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EA11" w14:textId="2C553264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Lormetazepam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Injection/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Sedalam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767A" w14:textId="172CF588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10ml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FA2B" w14:textId="0E1EA7D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Dr. Franz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Köhler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Chemie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GmbH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00EA" w14:textId="0A41D702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DAD0" w14:textId="70F237C6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1078D8" w:rsidRPr="001078D8" w14:paraId="7FC9AB32" w14:textId="77777777" w:rsidTr="003D7C9F">
        <w:trPr>
          <w:cantSplit/>
          <w:trHeight w:val="8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A1A6" w14:textId="4788D1C4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4E86" w14:textId="565052C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硝酸异康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唑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阴道片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12FC3" w14:textId="1FAC249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Isoconazole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Nitrate Vaginal Tablets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37D1" w14:textId="2C817CA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F697" w14:textId="196F321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バイエル</w:t>
            </w:r>
            <w:r w:rsidRPr="001078D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品株式会社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B207" w14:textId="5BCAE2E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B912" w14:textId="578665D3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078D8" w:rsidRPr="001078D8" w14:paraId="13F6497D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9E30" w14:textId="49828CEA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8F8C" w14:textId="61D1459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盐酸头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孢卡品酯片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CE4C" w14:textId="4D2EDC9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Cefcapene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0685"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Pivoxil</w:t>
            </w:r>
            <w:proofErr w:type="spellEnd"/>
            <w:r w:rsidR="00ED0685"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Tablet/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Flomox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E451" w14:textId="132A0EFF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E5CC" w14:textId="1773158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塩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野</w:t>
            </w:r>
            <w:r w:rsidRPr="001078D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義製薬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8BF1" w14:textId="57A3049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654F" w14:textId="7C872CE1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078D8" w:rsidRPr="001078D8" w14:paraId="77610783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0651" w14:textId="773B9898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3D53" w14:textId="4FEB368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氧氟沙星滴耳液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6234" w14:textId="3A2AD0C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Ofloxacin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Ear Drops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68EB" w14:textId="5C46D8A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F6EB" w14:textId="77777777" w:rsidR="008941E4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アルフレッサ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1078D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  <w:p w14:paraId="55A7B4F2" w14:textId="68FBCDB8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第一三共株式会社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7CE3" w14:textId="091A9634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C332" w14:textId="2BEFDE8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078D8" w:rsidRPr="001078D8" w14:paraId="4C05BC9F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2F30" w14:textId="5B429F5D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355A" w14:textId="3F17989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氟骨化三醇片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B3A3" w14:textId="3056EEC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Falecalcitriol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Fulstan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23F1" w14:textId="1AD0D28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0.15μg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C970" w14:textId="1CB8131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大日本住友</w:t>
            </w:r>
            <w:r w:rsidRPr="001078D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B551" w14:textId="201A499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9FFF" w14:textId="628C1C8F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078D8" w:rsidRPr="001078D8" w14:paraId="737E4BF5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0871" w14:textId="7904DD92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8103" w14:textId="419A80C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氟骨化三醇片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1F23" w14:textId="57D0BA4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Falecalcitriol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Fulstan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73C2" w14:textId="502801F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0.3μg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9EA2" w14:textId="2C5EB377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大日本住友</w:t>
            </w:r>
            <w:r w:rsidRPr="001078D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9FCB" w14:textId="4BF95887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FACD" w14:textId="448444C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078D8" w:rsidRPr="001078D8" w14:paraId="2EAD3261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ECC4" w14:textId="07D5E24E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F14C" w14:textId="0F7AF6F8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注射用盐酸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吡柔比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BF23" w14:textId="5A59F72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Pirarubicin</w:t>
            </w:r>
            <w:proofErr w:type="spellEnd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Hydrochloride for Injection/</w:t>
            </w:r>
            <w:proofErr w:type="spellStart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Pinorubin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62F9" w14:textId="037773C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333333"/>
                <w:sz w:val="24"/>
                <w:szCs w:val="24"/>
              </w:rPr>
              <w:t>10mg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F2AE" w14:textId="1B0BF0B4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日本マイクロバイオファ</w:t>
            </w:r>
            <w:r w:rsidRPr="001078D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B961" w14:textId="7921FD2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929B" w14:textId="2636842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078D8" w:rsidRPr="001078D8" w14:paraId="1292C673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B5504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94920" w14:textId="14777893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注射用盐酸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吡柔比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74631" w14:textId="465954A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Pirarubicin</w:t>
            </w:r>
            <w:proofErr w:type="spellEnd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Hydrochloride for Injection/</w:t>
            </w:r>
            <w:proofErr w:type="spellStart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Pinorubin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C790D" w14:textId="6C12504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333333"/>
                <w:sz w:val="24"/>
                <w:szCs w:val="24"/>
              </w:rPr>
              <w:t>20mg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CCADA" w14:textId="159FA9E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日本マイクロバイオファ</w:t>
            </w:r>
            <w:r w:rsidRPr="001078D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EF306" w14:textId="294626F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E013F" w14:textId="0350901F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078D8" w:rsidRPr="001078D8" w14:paraId="05EB4696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3E74C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D06F5" w14:textId="44B59AF3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注射用盐酸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吡柔比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0AF41" w14:textId="06064422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Pirarubicin</w:t>
            </w:r>
            <w:proofErr w:type="spellEnd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Hydrochloride for Injection/</w:t>
            </w:r>
            <w:proofErr w:type="spellStart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Pinorubin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0510B" w14:textId="39708D64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333333"/>
                <w:sz w:val="24"/>
                <w:szCs w:val="24"/>
              </w:rPr>
              <w:t>30mg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1D35B" w14:textId="2DED0248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日本マイクロバイオファ</w:t>
            </w:r>
            <w:r w:rsidRPr="001078D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64B62" w14:textId="787D4C8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6DC38" w14:textId="79EE0F7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078D8" w:rsidRPr="001078D8" w14:paraId="7F67295B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F8DBC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D2356" w14:textId="3CD33CA4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注射用盐酸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多柔比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1835F" w14:textId="0ECA2A4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Doxorubicin Hydrochloride for Injection 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Adriacin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980EC" w14:textId="7CC4E9A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3940E" w14:textId="294512F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アスペンジャパン株式会社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3D15F" w14:textId="59F5A9C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4261F" w14:textId="40802B63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078D8" w:rsidRPr="001078D8" w14:paraId="4116C45E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A8DCF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EFA85" w14:textId="100D4FD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美沙拉秦缓释颗粒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D7C43" w14:textId="3BB3F7DB" w:rsidR="001078D8" w:rsidRPr="001078D8" w:rsidRDefault="00F44551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Mesalazine</w:t>
            </w:r>
            <w:proofErr w:type="spellEnd"/>
            <w:r w:rsidR="001078D8"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Sustained-release Granules /</w:t>
            </w:r>
            <w:proofErr w:type="spellStart"/>
            <w:r w:rsidR="001078D8"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Pentasa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4D5CD" w14:textId="1D014D16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1g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，按美沙拉秦（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B13E8" w14:textId="55F71876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Ferring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S.A.S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77D7B" w14:textId="03724E0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59520" w14:textId="5328DA68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</w:tr>
      <w:tr w:rsidR="001078D8" w:rsidRPr="001078D8" w14:paraId="5D729A77" w14:textId="77777777" w:rsidTr="003D7C9F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82F87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41EAB" w14:textId="614F9C86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美沙拉秦缓释颗粒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4AAE" w14:textId="3BF171E9" w:rsidR="001078D8" w:rsidRPr="001078D8" w:rsidRDefault="00F44551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Mesalazine</w:t>
            </w:r>
            <w:proofErr w:type="spellEnd"/>
            <w:r w:rsidR="001078D8"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Sustained-release Granules /</w:t>
            </w:r>
            <w:proofErr w:type="spellStart"/>
            <w:r w:rsidR="001078D8"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Pentasa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2D6C4" w14:textId="6D99B52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2g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，按美沙拉秦（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60A38" w14:textId="3CC74DE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Ferring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S.A.S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3118F" w14:textId="4505056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587AC" w14:textId="6CAD939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</w:tr>
      <w:tr w:rsidR="004D06F1" w:rsidRPr="001078D8" w14:paraId="4E6BD46F" w14:textId="77777777" w:rsidTr="00C118A6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2565" w14:textId="5BCFCE08" w:rsidR="004D06F1" w:rsidRPr="001078D8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BAE45" w14:textId="77777777" w:rsidR="004D06F1" w:rsidRPr="001078D8" w:rsidRDefault="004D06F1" w:rsidP="004D06F1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未在国内上市品种，需参照原总局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年第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药典委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核准后为准。</w:t>
            </w:r>
          </w:p>
          <w:p w14:paraId="24094E8E" w14:textId="77777777" w:rsidR="004D06F1" w:rsidRPr="001078D8" w:rsidRDefault="004D06F1" w:rsidP="004D06F1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53E4796B" w14:textId="77777777" w:rsidR="004D06F1" w:rsidRPr="001078D8" w:rsidRDefault="004D06F1" w:rsidP="004D06F1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103B4FAA" w14:textId="1A4EFCCF" w:rsidR="004D06F1" w:rsidRPr="001078D8" w:rsidRDefault="004D06F1" w:rsidP="004D06F1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</w:rPr>
              <w:t>4.</w:t>
            </w:r>
            <w:r w:rsidRPr="001078D8">
              <w:rPr>
                <w:rFonts w:ascii="Times New Roman" w:eastAsia="仿宋_GB2312" w:hAnsi="Times New Roman" w:cs="Times New Roman"/>
                <w:sz w:val="24"/>
              </w:rPr>
              <w:t>选择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sz w:val="24"/>
              </w:rPr>
              <w:t>未进口参</w:t>
            </w:r>
            <w:proofErr w:type="gramEnd"/>
            <w:r w:rsidRPr="001078D8">
              <w:rPr>
                <w:rFonts w:ascii="Times New Roman" w:eastAsia="仿宋_GB2312" w:hAnsi="Times New Roman" w:cs="Times New Roman"/>
                <w:sz w:val="24"/>
              </w:rPr>
              <w:t>比制剂开展仿制药研究除满足其质量要求外，还需满足现行版《中国药典》和相关指导原则要求。</w:t>
            </w:r>
          </w:p>
        </w:tc>
      </w:tr>
    </w:tbl>
    <w:p w14:paraId="15F4CEE3" w14:textId="77777777" w:rsidR="007F0439" w:rsidRPr="001078D8" w:rsidRDefault="007F0439" w:rsidP="006E067C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078D8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99BE40D" w14:textId="3906F4D0" w:rsidR="00F8337F" w:rsidRPr="001078D8" w:rsidRDefault="00F8337F" w:rsidP="00F8337F">
      <w:pPr>
        <w:snapToGrid w:val="0"/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078D8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1078D8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5C889672" w14:textId="529652DE" w:rsidR="00F8337F" w:rsidRPr="001078D8" w:rsidRDefault="00F8337F" w:rsidP="00F8337F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078D8">
        <w:rPr>
          <w:rFonts w:ascii="Times New Roman" w:eastAsia="方正小标宋简体" w:hAnsi="Times New Roman" w:cs="Times New Roman"/>
          <w:kern w:val="0"/>
          <w:sz w:val="36"/>
          <w:szCs w:val="36"/>
        </w:rPr>
        <w:t>已发布</w:t>
      </w:r>
      <w:r w:rsidR="00A52DAA" w:rsidRPr="001078D8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 w:rsidRPr="001078D8">
        <w:rPr>
          <w:rFonts w:ascii="Times New Roman" w:eastAsia="方正小标宋简体" w:hAnsi="Times New Roman" w:cs="Times New Roman"/>
          <w:kern w:val="0"/>
          <w:sz w:val="36"/>
          <w:szCs w:val="36"/>
        </w:rPr>
        <w:t>参比制剂目录（</w:t>
      </w:r>
      <w:r w:rsidR="00A52DAA" w:rsidRPr="001078D8">
        <w:rPr>
          <w:rFonts w:ascii="Times New Roman" w:eastAsia="方正小标宋简体" w:hAnsi="Times New Roman" w:cs="Times New Roman"/>
          <w:kern w:val="0"/>
          <w:sz w:val="36"/>
          <w:szCs w:val="36"/>
        </w:rPr>
        <w:t>增补</w:t>
      </w:r>
      <w:r w:rsidRPr="001078D8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Pr="001078D8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846"/>
        <w:gridCol w:w="2964"/>
        <w:gridCol w:w="1986"/>
        <w:gridCol w:w="2545"/>
        <w:gridCol w:w="2126"/>
        <w:gridCol w:w="1706"/>
      </w:tblGrid>
      <w:tr w:rsidR="00784200" w:rsidRPr="001078D8" w14:paraId="4B9F39FB" w14:textId="77777777" w:rsidTr="00784200">
        <w:trPr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3C109" w14:textId="08E1C7F5" w:rsidR="00784200" w:rsidRPr="001078D8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1210E" w14:textId="553662E2" w:rsidR="00784200" w:rsidRPr="001078D8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DE510" w14:textId="7316ECC4" w:rsidR="00784200" w:rsidRPr="001078D8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95B85" w14:textId="30CC7FE6" w:rsidR="00784200" w:rsidRPr="001078D8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8ECCF" w14:textId="66CF14BD" w:rsidR="00784200" w:rsidRPr="001078D8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1A5D3" w14:textId="129D0BAB" w:rsidR="00784200" w:rsidRPr="001078D8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38DAF" w14:textId="71FD9CA2" w:rsidR="00784200" w:rsidRPr="001078D8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1078D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1078D8" w:rsidRPr="001078D8" w14:paraId="6DA6EF68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3F2A" w14:textId="50E58DB8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EF39" w14:textId="6192165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富马酸伏诺拉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23B1" w14:textId="23973B41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Vonoprazan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Fumarate Tablets 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Vocinti</w:t>
            </w:r>
            <w:proofErr w:type="spell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（沃克）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09CD" w14:textId="66888A2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E8C6" w14:textId="0AC4FC5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Takeda Pharmaceutical Company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AB9B" w14:textId="380333F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0B36" w14:textId="6E1D46B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1078D8" w:rsidRPr="001078D8" w14:paraId="2D8324FD" w14:textId="77777777" w:rsidTr="006F3854">
        <w:trPr>
          <w:trHeight w:val="69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4BFD" w14:textId="3E439458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EF44" w14:textId="4F5B40A6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富马酸伏诺拉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F30B" w14:textId="01D4864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Vonoprazan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Fumarate Tablets 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Vocinti</w:t>
            </w:r>
            <w:proofErr w:type="spell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（沃克）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EA0D" w14:textId="124DC62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D4A2" w14:textId="2A516466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Takeda Pharmaceutical Company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1182" w14:textId="0B07453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8D15" w14:textId="04A66D1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1078D8" w:rsidRPr="001078D8" w14:paraId="30952475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C6E5" w14:textId="0486F760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EF85" w14:textId="3BA1C24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碳酸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镧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颗粒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A13A" w14:textId="0AE1A9A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Lanthanum Carbonate Oral Powder/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Fosrenol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F4BA" w14:textId="6C81391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686D" w14:textId="6C1248FD" w:rsidR="001078D8" w:rsidRPr="001078D8" w:rsidRDefault="00F44551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Shire Development LLC</w:t>
            </w:r>
            <w:r w:rsidR="001078D8"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r w:rsidR="001078D8"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Takeda </w:t>
            </w:r>
            <w:proofErr w:type="spellStart"/>
            <w:r w:rsidR="001078D8"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Pharmmaceuticals</w:t>
            </w:r>
            <w:proofErr w:type="spellEnd"/>
            <w:r w:rsidR="001078D8"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E3CF" w14:textId="57A7E46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373E" w14:textId="3019205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1078D8" w:rsidRPr="001078D8" w14:paraId="714C002A" w14:textId="77777777" w:rsidTr="006F3854">
        <w:trPr>
          <w:trHeight w:val="65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7BA9" w14:textId="4241A62D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F676" w14:textId="02E689A4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尼莫地平口服溶液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CE34" w14:textId="3061713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Nimodipine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Oral Solution /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Nymalize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89B7" w14:textId="6D967FB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6mg/ml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0FBF" w14:textId="098D68DF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Arbor Pharmaceuticals,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B2D5" w14:textId="52736BF3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61CE" w14:textId="16170BC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1078D8" w:rsidRPr="001078D8" w14:paraId="02504822" w14:textId="77777777" w:rsidTr="006F3854">
        <w:trPr>
          <w:trHeight w:val="65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08328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47225" w14:textId="4D73B6C8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氟尿嘧啶注射液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BBC67" w14:textId="5B79B0A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Fluorouracil Injection/ Fluorouracil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76F6A" w14:textId="200B6B3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500mg/10ml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A37F5" w14:textId="703554B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Accord Healthcare,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194FB" w14:textId="3D6B4E9F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D5F5E" w14:textId="0E5C8CB7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1078D8" w:rsidRPr="001078D8" w14:paraId="6B366A3A" w14:textId="77777777" w:rsidTr="006F3854">
        <w:trPr>
          <w:trHeight w:val="68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2D6B" w14:textId="7A7565AC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138C" w14:textId="7A1A268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小儿复方氨基酸注射液（</w:t>
            </w:r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19AA-</w:t>
            </w:r>
            <w:r w:rsidRPr="001078D8">
              <w:rPr>
                <w:rFonts w:ascii="宋体" w:eastAsia="宋体" w:hAnsi="宋体" w:cs="宋体" w:hint="eastAsia"/>
                <w:sz w:val="24"/>
                <w:szCs w:val="24"/>
              </w:rPr>
              <w:t>Ⅰ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CC1B" w14:textId="0476883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10% Amino Acid Injection /</w:t>
            </w:r>
            <w:proofErr w:type="spellStart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Trophamine</w:t>
            </w:r>
            <w:proofErr w:type="spellEnd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1760" w14:textId="11E5E85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10%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500ml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A97A" w14:textId="4D227416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B Braun Medical </w:t>
            </w:r>
            <w:proofErr w:type="spellStart"/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5A80" w14:textId="5F3C78F1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CEA5" w14:textId="33A4A0DF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D0685" w:rsidRPr="001078D8" w14:paraId="5046FF40" w14:textId="77777777" w:rsidTr="00ED0685">
        <w:trPr>
          <w:trHeight w:val="68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5AE97" w14:textId="77777777" w:rsidR="00ED0685" w:rsidRPr="001078D8" w:rsidRDefault="00ED0685" w:rsidP="00ED0685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7BB2F" w14:textId="6B656D25" w:rsidR="00ED0685" w:rsidRPr="00ED0685" w:rsidRDefault="00ED0685" w:rsidP="00ED068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氯化钾缓释片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4DC3B" w14:textId="2D1921DF" w:rsidR="00ED0685" w:rsidRPr="00ED0685" w:rsidRDefault="00ED0685" w:rsidP="00ED068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Potassium Chloride Extended Release Tablets/K-Tab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19B52" w14:textId="3835448D" w:rsidR="00ED0685" w:rsidRPr="00ED0685" w:rsidRDefault="00ED0685" w:rsidP="00ED068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20mEq</w:t>
            </w:r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（相当于</w:t>
            </w:r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1.5g</w:t>
            </w:r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氯化钾）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09B77" w14:textId="6E939535" w:rsidR="00ED0685" w:rsidRPr="00ED0685" w:rsidRDefault="00ED0685" w:rsidP="00ED068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Abbvie</w:t>
            </w:r>
            <w:proofErr w:type="spellEnd"/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8F5AD" w14:textId="2ED0171A" w:rsidR="00ED0685" w:rsidRPr="00ED0685" w:rsidRDefault="00ED0685" w:rsidP="00ED068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D8B1" w14:textId="00131C3D" w:rsidR="00ED0685" w:rsidRPr="00ED0685" w:rsidRDefault="00ED0685" w:rsidP="00ED068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D0685" w:rsidRPr="001078D8" w14:paraId="302B9AE8" w14:textId="77777777" w:rsidTr="00ED0685">
        <w:trPr>
          <w:trHeight w:val="68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B472B" w14:textId="77777777" w:rsidR="00ED0685" w:rsidRPr="001078D8" w:rsidRDefault="00ED0685" w:rsidP="00ED0685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5F7F7" w14:textId="782EF0D3" w:rsidR="00ED0685" w:rsidRPr="00ED0685" w:rsidRDefault="00ED0685" w:rsidP="00ED068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盐酸</w:t>
            </w:r>
            <w:proofErr w:type="gramStart"/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吡</w:t>
            </w:r>
            <w:proofErr w:type="gramEnd"/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格列酮片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6932C" w14:textId="3BD9D659" w:rsidR="00ED0685" w:rsidRPr="00ED0685" w:rsidRDefault="00ED0685" w:rsidP="00ED068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Pioglitazone Hydrochloride Tablets/Actos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8F406" w14:textId="2F00FA03" w:rsidR="00ED0685" w:rsidRPr="00ED0685" w:rsidRDefault="00ED0685" w:rsidP="00ED068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45mg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65960" w14:textId="53840B39" w:rsidR="00ED0685" w:rsidRPr="00ED0685" w:rsidRDefault="00ED0685" w:rsidP="00ED068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Takeda Pharmaceuticals USA </w:t>
            </w:r>
            <w:proofErr w:type="spellStart"/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FB7DB" w14:textId="0BAF6426" w:rsidR="00ED0685" w:rsidRPr="00ED0685" w:rsidRDefault="00ED0685" w:rsidP="00ED068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D0954" w14:textId="62A1C27F" w:rsidR="00ED0685" w:rsidRPr="00ED0685" w:rsidRDefault="00ED0685" w:rsidP="00ED068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D0685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1078D8" w:rsidRPr="001078D8" w14:paraId="553C4DDD" w14:textId="77777777" w:rsidTr="006F3854">
        <w:trPr>
          <w:trHeight w:val="89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2E8E" w14:textId="7577BFA6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BE40" w14:textId="4EC678C1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丁螺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环酮片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6DBA" w14:textId="1824677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Buspirone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Tablet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2F32" w14:textId="54A37988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5499" w14:textId="51C784F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Teva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Pharmaceuticals USA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5DB5" w14:textId="767B4A1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A06E" w14:textId="4BAF3473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1078D8" w:rsidRPr="001078D8" w14:paraId="1A50602F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F014" w14:textId="207A6979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EC1C" w14:textId="005D1A78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罗匹尼罗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B488" w14:textId="6CDC93D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Ropinirole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Sustained-release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8E64" w14:textId="231502F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42A9" w14:textId="7C3DD57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GLAXO SMITHKLINE/SmithKline Beecham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06F0" w14:textId="4C6AE00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1235" w14:textId="2CE5B604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1078D8" w:rsidRPr="001078D8" w14:paraId="4EEC70BC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9577C" w14:textId="3F2C22E6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E21B6" w14:textId="0CB31F5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亚叶酸钙注射液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03202" w14:textId="3669D282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Calcium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Folinate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Injection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B7056" w14:textId="484FEF13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5ml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16598" w14:textId="5E5F28A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Hospira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UK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31D3D" w14:textId="2455F40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5564C" w14:textId="12582B43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1078D8" w:rsidRPr="001078D8" w14:paraId="5644C9D7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D7F55" w14:textId="1C0F7EA9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AE4CE" w14:textId="68303BA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苯磺酸氨氯地平片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86F4E" w14:textId="305D92E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Amlodipine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Besylate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CD37" w14:textId="0BED9E17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10mg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20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25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CLN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9490" w14:textId="010A4FB6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Pfizer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B537F" w14:textId="47DBBFF1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EFA4A" w14:textId="68732998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1078D8" w:rsidRPr="001078D8" w14:paraId="20790F86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B854" w14:textId="1FDB0FC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2C69" w14:textId="646507C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甲氨蝶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呤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6CF8" w14:textId="0437C79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Methotrexate </w:t>
            </w:r>
            <w:r w:rsidR="00ED0685"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Injection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421B" w14:textId="0B57F0D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2ml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E1C0" w14:textId="1B49E8B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Pfizer Pharma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Pfe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315B" w14:textId="16AA8D7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4927" w14:textId="7C2E140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1078D8" w:rsidRPr="001078D8" w14:paraId="18539AC8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0E4A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6F485" w14:textId="0EC4115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西他赛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F384F" w14:textId="12D8F4C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Docetaxel Injection/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Taxotere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FE5B2" w14:textId="2832E0B7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20mg/1ml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BC3F2" w14:textId="42E39A5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Sanofi Mature IP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8CC12" w14:textId="30A47E28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98803" w14:textId="31887EC0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1078D8" w:rsidRPr="001078D8" w14:paraId="6409B724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5AD44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4F5E7" w14:textId="5C736AC2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盐酸罗哌卡因注射液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A5D7B" w14:textId="16DAFCE2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Ropivacaine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0685"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Hydrochloride Injection/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Naropin</w:t>
            </w:r>
            <w:proofErr w:type="spellEnd"/>
            <w:r w:rsidR="00ED0685"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Naropeine</w:t>
            </w:r>
            <w:proofErr w:type="spellEnd"/>
            <w:r w:rsidR="00ED0685"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Naropina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12B3A" w14:textId="161355E4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20mg/10ml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40725" w14:textId="7ED2CD8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Aspen Pharma Trading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2DD52" w14:textId="78240C6F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18C8C" w14:textId="19FDEE58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1078D8" w:rsidRPr="001078D8" w14:paraId="52F66FD0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3C993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90303" w14:textId="3DAD6EB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盐酸坦索罗辛口崩缓释片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57888" w14:textId="417D975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Tamsulosin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Oral Dispersible Sustained Release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DEF92" w14:textId="0A246A5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C78BF" w14:textId="3210046A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Astellas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Pharma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アステラス</w:t>
            </w:r>
            <w:r w:rsidRPr="001078D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126E2" w14:textId="2B861F91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D6A5E" w14:textId="5375B4F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078D8" w:rsidRPr="001078D8" w14:paraId="133D84CF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C6C55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D6B0" w14:textId="65AC903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钆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特醇注射液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07A9" w14:textId="282687E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Gadoteridol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Injection/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ProHance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BC38C" w14:textId="693923B3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10ml:2.793g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9B418" w14:textId="501B885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ブラッコスイス株式会社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EB536" w14:textId="4B4AEE57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AD72D" w14:textId="14A64CEF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078D8" w:rsidRPr="001078D8" w14:paraId="50BA2820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CBA2A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A33D" w14:textId="4AE231AF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钆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特醇注射液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94E06" w14:textId="6298DDA4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Gadoteridol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Injection/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ProHance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3278E" w14:textId="1D7BB8F8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15ml:4.1895g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13139" w14:textId="2E73B426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ブラッコスイス株式会社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A5237" w14:textId="27D2D62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0E125" w14:textId="5E6F0A95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078D8" w:rsidRPr="001078D8" w14:paraId="52A96837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22BBE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E2E1" w14:textId="64F5E399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注射用头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孢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啶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096D2" w14:textId="48294CE2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Ceftazidime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For Injection/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Modacin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6E243" w14:textId="73774DF2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2F470" w14:textId="42F62092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グラクソ</w:t>
            </w:r>
            <w:r w:rsidRPr="001078D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・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スミスクライン株式会社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4D31" w14:textId="774C4AFE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64F34" w14:textId="44E5D6D4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078D8" w:rsidRPr="001078D8" w14:paraId="6169348D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D627" w14:textId="77777777" w:rsidR="001078D8" w:rsidRPr="001078D8" w:rsidRDefault="001078D8" w:rsidP="001078D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77DA5" w14:textId="406F53DD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用氨曲南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BF6DD" w14:textId="09F11EC1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Aztreonam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For Injection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A408B" w14:textId="023580F3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B008C" w14:textId="59A08B8B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日本エ</w:t>
            </w:r>
            <w:r w:rsidRPr="001078D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ザイ株式会社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0AB7D" w14:textId="7F164636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FAFD4" w14:textId="149079FC" w:rsidR="001078D8" w:rsidRPr="001078D8" w:rsidRDefault="001078D8" w:rsidP="001078D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4B58E3" w:rsidRPr="001078D8" w14:paraId="5102AD6B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C6C4" w14:textId="3DD13DBB" w:rsidR="004B58E3" w:rsidRPr="004B58E3" w:rsidRDefault="004B58E3" w:rsidP="004B58E3">
            <w:pPr>
              <w:widowControl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4B58E3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5-19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9FAEA" w14:textId="1F3A075A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卡托普利片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B8ED7" w14:textId="40A41934" w:rsidR="004B58E3" w:rsidRPr="001078D8" w:rsidRDefault="004B58E3" w:rsidP="004B58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Captopril </w:t>
            </w:r>
            <w:r w:rsidR="00ED0685"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Tablets/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Captopril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3B1E9" w14:textId="6D5FC269" w:rsidR="004B58E3" w:rsidRPr="001078D8" w:rsidRDefault="004B58E3" w:rsidP="004B58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D0F63" w14:textId="0DB2239E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Daiichi Sankyo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Espha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Co.,  Ltd./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アルフレッサファ</w:t>
            </w:r>
            <w:r w:rsidRPr="001078D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1756" w14:textId="060D266A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03E4B" w14:textId="418764F5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增加持证商アルフレッサファ</w:t>
            </w:r>
            <w:r w:rsidRPr="001078D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</w:tr>
      <w:tr w:rsidR="004B58E3" w:rsidRPr="001078D8" w14:paraId="372476E5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88CDC" w14:textId="0238EA8B" w:rsidR="004B58E3" w:rsidRPr="004B58E3" w:rsidRDefault="004B58E3" w:rsidP="004B58E3">
            <w:pPr>
              <w:widowControl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4B58E3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5-20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0CD28" w14:textId="5C8A7A4F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卡托普利片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B4D79" w14:textId="54DF7AB4" w:rsidR="004B58E3" w:rsidRPr="001078D8" w:rsidRDefault="004B58E3" w:rsidP="004B58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Captopril </w:t>
            </w:r>
            <w:r w:rsidR="00ED0685"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Tablets/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Captopril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801E9" w14:textId="0CC25A3C" w:rsidR="004B58E3" w:rsidRPr="001078D8" w:rsidRDefault="004B58E3" w:rsidP="004B58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1127" w14:textId="170C7363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Daiichi Sankyo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Espha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Co.,  Ltd./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アルフレッサファ</w:t>
            </w:r>
            <w:r w:rsidRPr="001078D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4BFE9" w14:textId="53B34A4C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33712" w14:textId="20361B54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增加持证商アルフレッサファ</w:t>
            </w:r>
            <w:r w:rsidRPr="001078D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</w:tr>
      <w:tr w:rsidR="004B58E3" w:rsidRPr="001078D8" w14:paraId="3A7A17BF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1EB94" w14:textId="284D7E34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21-102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744E2" w14:textId="78FBB02E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注射用环磷酰胺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B5C34" w14:textId="77777777" w:rsidR="004B58E3" w:rsidRDefault="004B58E3" w:rsidP="004B58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Cyclophosphamide for Injection/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Endoxan</w:t>
            </w:r>
            <w:proofErr w:type="spellEnd"/>
          </w:p>
          <w:p w14:paraId="3E6A942D" w14:textId="3B9457DC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（安道生）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368C7" w14:textId="024DB817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F1C43" w14:textId="77777777" w:rsidR="004B58E3" w:rsidRDefault="004B58E3" w:rsidP="004B58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Baxter Oncology GmbH</w:t>
            </w:r>
          </w:p>
          <w:p w14:paraId="78975961" w14:textId="7209C889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/Baxter Healthcare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DC31" w14:textId="4AE4A2E4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82AAD" w14:textId="4049F37F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增加持证商</w:t>
            </w:r>
            <w:r w:rsidRPr="001078D8">
              <w:rPr>
                <w:rFonts w:ascii="Times New Roman" w:eastAsia="等线" w:hAnsi="Times New Roman" w:cs="Times New Roman"/>
                <w:sz w:val="24"/>
                <w:szCs w:val="24"/>
              </w:rPr>
              <w:t>Baxter Healthcare Ltd</w:t>
            </w:r>
          </w:p>
        </w:tc>
      </w:tr>
      <w:tr w:rsidR="004B58E3" w:rsidRPr="001078D8" w14:paraId="2214ABE8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AFB31" w14:textId="41BA77D1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23-48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35AA5" w14:textId="6DBDAC1A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阿普司特片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94F99" w14:textId="20805523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Apremilast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Tablet 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Otezla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F6A63" w14:textId="764EE492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6CCB7" w14:textId="77777777" w:rsidR="004B58E3" w:rsidRDefault="004B58E3" w:rsidP="004B58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Celgene Corp</w:t>
            </w:r>
          </w:p>
          <w:p w14:paraId="3E012E95" w14:textId="3A3E4C6D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Amgen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4E311" w14:textId="62028221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7F452" w14:textId="15471258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Amgen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</w:tr>
      <w:tr w:rsidR="004B58E3" w:rsidRPr="001078D8" w14:paraId="1541077C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3AD04" w14:textId="299354A2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23-49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11BBE" w14:textId="62977217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阿普司特片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1FEB9" w14:textId="6700B811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Apremilast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Tablet 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Otezla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5C99D" w14:textId="21A24A9B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520F0" w14:textId="77777777" w:rsidR="004B58E3" w:rsidRDefault="004B58E3" w:rsidP="004B58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Celgene Corp</w:t>
            </w:r>
          </w:p>
          <w:p w14:paraId="19D44DAD" w14:textId="42048F2A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Amgen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49DD3" w14:textId="3D31AFA5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74F11" w14:textId="362C33BE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Amgen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</w:tr>
      <w:tr w:rsidR="004B58E3" w:rsidRPr="001078D8" w14:paraId="51106761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8E9E3" w14:textId="14229E2D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27-412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196C0" w14:textId="58C9E1F4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阿普司特片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10790" w14:textId="53EE36FD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Apremilast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Tablet /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Otezla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BE18C" w14:textId="74C07095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2DF80" w14:textId="77777777" w:rsidR="004B58E3" w:rsidRDefault="004B58E3" w:rsidP="004B58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Celgene Corp</w:t>
            </w:r>
          </w:p>
          <w:p w14:paraId="4F18A794" w14:textId="3CC52D2D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Amgen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1ABEF" w14:textId="01C1F2FB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DE17E" w14:textId="08932C80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Amgen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</w:tr>
      <w:tr w:rsidR="004B58E3" w:rsidRPr="001078D8" w14:paraId="582CE713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9C7B6" w14:textId="7813D1CF" w:rsidR="004B58E3" w:rsidRPr="001078D8" w:rsidRDefault="004B58E3" w:rsidP="004B58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27-372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F7CB8" w14:textId="2B64EB23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苯磺酸氨氯地平片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04C07" w14:textId="599D57C8" w:rsidR="004B58E3" w:rsidRPr="001078D8" w:rsidRDefault="004B58E3" w:rsidP="004B58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Amlodipine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Besylate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17054" w14:textId="043D8B19" w:rsidR="004B58E3" w:rsidRPr="001078D8" w:rsidRDefault="004B58E3" w:rsidP="004B58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5mg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20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25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CLN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EFA71" w14:textId="480DDFBA" w:rsidR="004B58E3" w:rsidRPr="001078D8" w:rsidRDefault="004B58E3" w:rsidP="004B58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Pfizer Luxembourg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Sarl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/Pfizer Limited/Pfizer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A962C" w14:textId="574CAB66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FEDA8" w14:textId="3358572D" w:rsidR="004B58E3" w:rsidRPr="001078D8" w:rsidRDefault="004B58E3" w:rsidP="004B58E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Pfizer Luxembourg </w:t>
            </w:r>
            <w:proofErr w:type="spellStart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Sarl</w:t>
            </w:r>
            <w:proofErr w:type="spellEnd"/>
            <w:r w:rsidRPr="001078D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/Pfizer</w:t>
            </w:r>
            <w:r w:rsidRPr="001078D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；不限定商品名</w:t>
            </w:r>
          </w:p>
        </w:tc>
      </w:tr>
      <w:tr w:rsidR="004B58E3" w:rsidRPr="001078D8" w14:paraId="6E12BBBA" w14:textId="77777777" w:rsidTr="00784200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D17D" w14:textId="27F05764" w:rsidR="004B58E3" w:rsidRPr="001078D8" w:rsidRDefault="004B58E3" w:rsidP="004B58E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D0C1" w14:textId="77777777" w:rsidR="004B58E3" w:rsidRPr="001078D8" w:rsidRDefault="004B58E3" w:rsidP="004B58E3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未在国内上市品种，需参照原总局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年第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药典委</w:t>
            </w:r>
            <w:proofErr w:type="gramEnd"/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核准后为准。</w:t>
            </w:r>
          </w:p>
          <w:p w14:paraId="466C5BF2" w14:textId="77777777" w:rsidR="004B58E3" w:rsidRPr="001078D8" w:rsidRDefault="004B58E3" w:rsidP="004B58E3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4610390B" w14:textId="77777777" w:rsidR="004B58E3" w:rsidRPr="001078D8" w:rsidRDefault="004B58E3" w:rsidP="004B58E3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1078D8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666FE78B" w14:textId="77692493" w:rsidR="004B58E3" w:rsidRPr="001078D8" w:rsidRDefault="004B58E3" w:rsidP="004B58E3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sz w:val="24"/>
              </w:rPr>
              <w:t>4.</w:t>
            </w:r>
            <w:r w:rsidRPr="001078D8">
              <w:rPr>
                <w:rFonts w:ascii="Times New Roman" w:eastAsia="仿宋_GB2312" w:hAnsi="Times New Roman" w:cs="Times New Roman"/>
                <w:sz w:val="24"/>
              </w:rPr>
              <w:t>选择</w:t>
            </w:r>
            <w:proofErr w:type="gramStart"/>
            <w:r w:rsidRPr="001078D8">
              <w:rPr>
                <w:rFonts w:ascii="Times New Roman" w:eastAsia="仿宋_GB2312" w:hAnsi="Times New Roman" w:cs="Times New Roman"/>
                <w:sz w:val="24"/>
              </w:rPr>
              <w:t>未进口参</w:t>
            </w:r>
            <w:proofErr w:type="gramEnd"/>
            <w:r w:rsidRPr="001078D8">
              <w:rPr>
                <w:rFonts w:ascii="Times New Roman" w:eastAsia="仿宋_GB2312" w:hAnsi="Times New Roman" w:cs="Times New Roman"/>
                <w:sz w:val="24"/>
              </w:rPr>
              <w:t>比制剂开展仿制药研究除满足其质量要求外，还需满足现行版《中国药典》和相关指导原则要求。</w:t>
            </w:r>
          </w:p>
        </w:tc>
      </w:tr>
    </w:tbl>
    <w:p w14:paraId="150D28A8" w14:textId="77777777" w:rsidR="00784200" w:rsidRPr="001078D8" w:rsidRDefault="00784200" w:rsidP="006E067C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784200" w:rsidRPr="001078D8" w:rsidSect="00A8534A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A138678" w14:textId="658598C2" w:rsidR="00143519" w:rsidRPr="001078D8" w:rsidRDefault="00143519" w:rsidP="006E067C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078D8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="00F8337F" w:rsidRPr="001078D8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48BB04A7" w14:textId="7CA3AB42" w:rsidR="00E418BE" w:rsidRPr="001078D8" w:rsidRDefault="00E418BE" w:rsidP="006E067C">
      <w:pPr>
        <w:snapToGrid w:val="0"/>
        <w:spacing w:afterLines="50" w:after="156"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1078D8">
        <w:rPr>
          <w:rFonts w:ascii="Times New Roman" w:eastAsia="方正小标宋简体" w:hAnsi="Times New Roman" w:cs="Times New Roman"/>
          <w:kern w:val="0"/>
          <w:sz w:val="36"/>
          <w:szCs w:val="36"/>
        </w:rPr>
        <w:t>未通过审议品种</w:t>
      </w:r>
      <w:r w:rsidR="00754E79" w:rsidRPr="001078D8">
        <w:rPr>
          <w:rFonts w:ascii="Times New Roman" w:eastAsia="方正小标宋简体" w:hAnsi="Times New Roman" w:cs="Times New Roman"/>
          <w:kern w:val="0"/>
          <w:sz w:val="36"/>
          <w:szCs w:val="36"/>
        </w:rPr>
        <w:t>目录</w:t>
      </w: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399"/>
        <w:gridCol w:w="1949"/>
        <w:gridCol w:w="1563"/>
        <w:gridCol w:w="1849"/>
        <w:gridCol w:w="1538"/>
        <w:gridCol w:w="1399"/>
        <w:gridCol w:w="4052"/>
      </w:tblGrid>
      <w:tr w:rsidR="00C118A6" w:rsidRPr="001078D8" w14:paraId="4A404D0D" w14:textId="77777777" w:rsidTr="0020504C">
        <w:trPr>
          <w:cantSplit/>
          <w:trHeight w:val="900"/>
          <w:tblHeader/>
        </w:trPr>
        <w:tc>
          <w:tcPr>
            <w:tcW w:w="852" w:type="dxa"/>
            <w:shd w:val="clear" w:color="auto" w:fill="auto"/>
            <w:noWrap/>
            <w:vAlign w:val="center"/>
          </w:tcPr>
          <w:p w14:paraId="77DD301D" w14:textId="0A3EE826" w:rsidR="00C118A6" w:rsidRPr="001078D8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B8BCD88" w14:textId="3D1F83F0" w:rsidR="00C118A6" w:rsidRPr="001078D8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D58C421" w14:textId="36C8F1AD" w:rsidR="00C118A6" w:rsidRPr="001078D8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英文名称</w:t>
            </w:r>
            <w:r w:rsidRPr="001078D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1078D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1690B38" w14:textId="77725586" w:rsidR="00C118A6" w:rsidRPr="001078D8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5E02609" w14:textId="425DEB85" w:rsidR="00C118A6" w:rsidRPr="001078D8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31FCDB6" w14:textId="7A3E26F6" w:rsidR="00C118A6" w:rsidRPr="001078D8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1078D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623798F" w14:textId="3827B834" w:rsidR="00C118A6" w:rsidRPr="001078D8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1078D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52" w:type="dxa"/>
            <w:vAlign w:val="center"/>
          </w:tcPr>
          <w:p w14:paraId="49FB56DE" w14:textId="0E7B007F" w:rsidR="00C118A6" w:rsidRPr="001078D8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078D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9517CC" w:rsidRPr="001078D8" w14:paraId="5470FD5B" w14:textId="141A7E69" w:rsidTr="0020504C">
        <w:trPr>
          <w:cantSplit/>
          <w:trHeight w:val="9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078C6DD" w14:textId="58E550A4" w:rsidR="009517CC" w:rsidRPr="009517CC" w:rsidRDefault="009517CC" w:rsidP="009517CC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2471E42E" w14:textId="7064D1C6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盐酸多巴胺葡萄糖注射液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04B6EA9" w14:textId="678798FD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Dopamine Hydrochloride and 5% Dextrose Injection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28E11AD8" w14:textId="554003A2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80mg/100ml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ECF94F4" w14:textId="69646CE4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5C922F3A" w14:textId="72CE5396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6F2AB50F" w14:textId="1B81C89F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052" w:type="dxa"/>
            <w:vAlign w:val="center"/>
          </w:tcPr>
          <w:p w14:paraId="5770455B" w14:textId="2D02FBE2" w:rsidR="009517CC" w:rsidRPr="009517CC" w:rsidRDefault="009517CC" w:rsidP="009517CC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盐酸多巴胺个体化用药特征突出，临床用药剂量范围大，单位时间输液浓度范围大，低剂量与高剂量相差可达十倍甚至数十倍。用小规格按需配制溶液更为有利，不提倡开发固定装量的大输液。且已有</w:t>
            </w: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小水针获批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上市，可满足临床需求。综上，审议未通过。</w:t>
            </w:r>
          </w:p>
        </w:tc>
      </w:tr>
      <w:tr w:rsidR="009517CC" w:rsidRPr="001078D8" w14:paraId="1F070667" w14:textId="77777777" w:rsidTr="0020504C">
        <w:trPr>
          <w:cantSplit/>
          <w:trHeight w:val="900"/>
        </w:trPr>
        <w:tc>
          <w:tcPr>
            <w:tcW w:w="852" w:type="dxa"/>
            <w:shd w:val="clear" w:color="auto" w:fill="auto"/>
            <w:noWrap/>
            <w:vAlign w:val="center"/>
          </w:tcPr>
          <w:p w14:paraId="22DFEF51" w14:textId="77777777" w:rsidR="009517CC" w:rsidRPr="009517CC" w:rsidRDefault="009517CC" w:rsidP="009517CC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3ECABB4" w14:textId="5CFA4F9B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盐酸多巴胺葡萄糖注射液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983D17D" w14:textId="09CCD0F8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Dopamine Hydrochloride and 5% Dextrose Injection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1086B9F" w14:textId="11795D8A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160mg/100ml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1589FA" w14:textId="78062762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45B2626" w14:textId="1F21D9E8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7D329B1" w14:textId="70B16422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052" w:type="dxa"/>
            <w:vAlign w:val="center"/>
          </w:tcPr>
          <w:p w14:paraId="3AF33362" w14:textId="6B3E6918" w:rsidR="009517CC" w:rsidRPr="009517CC" w:rsidRDefault="009517CC" w:rsidP="009517CC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同上。</w:t>
            </w:r>
          </w:p>
        </w:tc>
      </w:tr>
      <w:tr w:rsidR="009517CC" w:rsidRPr="001078D8" w14:paraId="5BCFFABE" w14:textId="77777777" w:rsidTr="0020504C">
        <w:trPr>
          <w:cantSplit/>
          <w:trHeight w:val="900"/>
        </w:trPr>
        <w:tc>
          <w:tcPr>
            <w:tcW w:w="852" w:type="dxa"/>
            <w:shd w:val="clear" w:color="auto" w:fill="auto"/>
            <w:noWrap/>
            <w:vAlign w:val="center"/>
          </w:tcPr>
          <w:p w14:paraId="0813A790" w14:textId="77777777" w:rsidR="009517CC" w:rsidRPr="009517CC" w:rsidRDefault="009517CC" w:rsidP="009517CC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50FFB07" w14:textId="605B57CC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盐酸多巴胺葡萄糖注射液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11E32D5" w14:textId="2B44193C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Dopamine Hydrochloride and 5% Dextrose Injection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E90CF72" w14:textId="6E88CA64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320mg/100ml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4733FDB" w14:textId="10C955FE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46561BE" w14:textId="16F4A7E6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0637DCE" w14:textId="42D9E5FE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052" w:type="dxa"/>
            <w:vAlign w:val="center"/>
          </w:tcPr>
          <w:p w14:paraId="63DE221F" w14:textId="1960EFF5" w:rsidR="009517CC" w:rsidRPr="009517CC" w:rsidRDefault="009517CC" w:rsidP="009517CC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同上。</w:t>
            </w:r>
          </w:p>
        </w:tc>
      </w:tr>
      <w:tr w:rsidR="009517CC" w:rsidRPr="001078D8" w14:paraId="42B3D588" w14:textId="77777777" w:rsidTr="0020504C">
        <w:trPr>
          <w:cantSplit/>
          <w:trHeight w:val="900"/>
        </w:trPr>
        <w:tc>
          <w:tcPr>
            <w:tcW w:w="852" w:type="dxa"/>
            <w:shd w:val="clear" w:color="auto" w:fill="auto"/>
            <w:noWrap/>
            <w:vAlign w:val="center"/>
          </w:tcPr>
          <w:p w14:paraId="7E1C0F07" w14:textId="77777777" w:rsidR="009517CC" w:rsidRPr="009517CC" w:rsidRDefault="009517CC" w:rsidP="009517CC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157975B5" w14:textId="3C590708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马来酸麦角新碱</w:t>
            </w: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缩宫素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FA56576" w14:textId="3E6F9BDE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Ergometrine</w:t>
            </w:r>
            <w:proofErr w:type="spell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and Oxytocin Injection/ </w:t>
            </w:r>
            <w:proofErr w:type="spell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Syntometrine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</w:tcPr>
          <w:p w14:paraId="37324F5D" w14:textId="5ABB64F2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500μg</w:t>
            </w: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马来酸麦角新碱和</w:t>
            </w: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5IU</w:t>
            </w: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缩宫素</w:t>
            </w:r>
            <w:proofErr w:type="gramEnd"/>
          </w:p>
        </w:tc>
        <w:tc>
          <w:tcPr>
            <w:tcW w:w="1849" w:type="dxa"/>
            <w:shd w:val="clear" w:color="auto" w:fill="auto"/>
            <w:vAlign w:val="center"/>
          </w:tcPr>
          <w:p w14:paraId="201B610E" w14:textId="621C74D3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Alliance Pharmaceuticals Limited.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5670763" w14:textId="53DED5AB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C934EBB" w14:textId="2B6B4FEE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4052" w:type="dxa"/>
            <w:vAlign w:val="center"/>
          </w:tcPr>
          <w:p w14:paraId="6A40601B" w14:textId="7BBF1EFC" w:rsidR="009517CC" w:rsidRPr="009517CC" w:rsidRDefault="009517CC" w:rsidP="00B605E7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</w:t>
            </w:r>
            <w:r w:rsidR="00B605E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一致性评价专家委员会审议，本品原</w:t>
            </w:r>
            <w:proofErr w:type="gramStart"/>
            <w:r w:rsidR="00B605E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="00B605E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不明</w:t>
            </w:r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，且其组方临床价值不明，审议未通过。</w:t>
            </w:r>
          </w:p>
        </w:tc>
      </w:tr>
      <w:tr w:rsidR="009517CC" w:rsidRPr="001078D8" w14:paraId="3114D2B7" w14:textId="77777777" w:rsidTr="0020504C">
        <w:trPr>
          <w:cantSplit/>
          <w:trHeight w:val="900"/>
        </w:trPr>
        <w:tc>
          <w:tcPr>
            <w:tcW w:w="852" w:type="dxa"/>
            <w:shd w:val="clear" w:color="auto" w:fill="auto"/>
            <w:noWrap/>
            <w:vAlign w:val="center"/>
          </w:tcPr>
          <w:p w14:paraId="3B4B012E" w14:textId="77777777" w:rsidR="009517CC" w:rsidRPr="009517CC" w:rsidRDefault="009517CC" w:rsidP="009517CC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7791F72" w14:textId="732DCFC0" w:rsidR="009517CC" w:rsidRPr="009517CC" w:rsidRDefault="006832D3" w:rsidP="00F4455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盐酸芬特明托</w:t>
            </w: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酯缓释胶囊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CB83B2C" w14:textId="6BBA1222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Phentermine Hydrochloride and </w:t>
            </w:r>
            <w:proofErr w:type="spell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Topiramate</w:t>
            </w:r>
            <w:proofErr w:type="spell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extended release capsules/</w:t>
            </w:r>
            <w:proofErr w:type="spell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Qsymia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</w:tcPr>
          <w:p w14:paraId="12C2C9E6" w14:textId="5C568BA0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3.75mg /23mg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C837E6" w14:textId="7F375AE7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Vivus</w:t>
            </w:r>
            <w:proofErr w:type="spell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D1546FF" w14:textId="09A751B3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45199AD" w14:textId="72F5E437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052" w:type="dxa"/>
            <w:vAlign w:val="center"/>
          </w:tcPr>
          <w:p w14:paraId="39815133" w14:textId="0E99C414" w:rsidR="009517CC" w:rsidRPr="009517CC" w:rsidRDefault="009517CC" w:rsidP="009517CC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经一致性评价专家委员会审议，本品存在心率升高、药物滥用、自杀行为等诸多安全性风险；此外本品为盐酸</w:t>
            </w: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芬特明速释微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丸和托</w:t>
            </w: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吡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酯缓释微丸填充胶囊组成的复方制剂，目前我国尚无盐酸</w:t>
            </w: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芬特明速释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制剂、托</w:t>
            </w: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吡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酯缓释制剂单药及联合用药用于体重控制的基础。综上，审议未通过。</w:t>
            </w:r>
          </w:p>
        </w:tc>
      </w:tr>
      <w:tr w:rsidR="009517CC" w:rsidRPr="001078D8" w14:paraId="734F10F8" w14:textId="77777777" w:rsidTr="0020504C">
        <w:trPr>
          <w:cantSplit/>
          <w:trHeight w:val="900"/>
        </w:trPr>
        <w:tc>
          <w:tcPr>
            <w:tcW w:w="852" w:type="dxa"/>
            <w:shd w:val="clear" w:color="auto" w:fill="auto"/>
            <w:noWrap/>
            <w:vAlign w:val="center"/>
          </w:tcPr>
          <w:p w14:paraId="138ACDC4" w14:textId="77777777" w:rsidR="009517CC" w:rsidRPr="009517CC" w:rsidRDefault="009517CC" w:rsidP="009517CC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F048AC7" w14:textId="39786187" w:rsidR="009517CC" w:rsidRPr="009517CC" w:rsidRDefault="006832D3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盐酸芬特明托</w:t>
            </w: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酯缓释胶囊</w:t>
            </w:r>
            <w:r w:rsidR="009517CC"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C4CE56E" w14:textId="7FD9989C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Phentermine Hydrochloride and </w:t>
            </w:r>
            <w:proofErr w:type="spell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Topiramate</w:t>
            </w:r>
            <w:proofErr w:type="spell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extended release capsules/</w:t>
            </w:r>
            <w:proofErr w:type="spell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Qsymia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</w:tcPr>
          <w:p w14:paraId="2D0AB7CE" w14:textId="59C09B7F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7.5mg /46mg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F3A23A5" w14:textId="4D1A36AB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Vivus</w:t>
            </w:r>
            <w:proofErr w:type="spell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4762132" w14:textId="01B02EAB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2E4541C" w14:textId="5EFB02DA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052" w:type="dxa"/>
            <w:vAlign w:val="center"/>
          </w:tcPr>
          <w:p w14:paraId="0C7B5A97" w14:textId="41F74E58" w:rsidR="009517CC" w:rsidRPr="009517CC" w:rsidRDefault="009517CC" w:rsidP="009517CC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同上。</w:t>
            </w:r>
          </w:p>
        </w:tc>
      </w:tr>
      <w:tr w:rsidR="009517CC" w:rsidRPr="001078D8" w14:paraId="7BAB2F1E" w14:textId="77777777" w:rsidTr="0020504C">
        <w:trPr>
          <w:cantSplit/>
          <w:trHeight w:val="900"/>
        </w:trPr>
        <w:tc>
          <w:tcPr>
            <w:tcW w:w="852" w:type="dxa"/>
            <w:shd w:val="clear" w:color="auto" w:fill="auto"/>
            <w:noWrap/>
            <w:vAlign w:val="center"/>
          </w:tcPr>
          <w:p w14:paraId="31724F89" w14:textId="77777777" w:rsidR="009517CC" w:rsidRPr="009517CC" w:rsidRDefault="009517CC" w:rsidP="009517CC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962051A" w14:textId="576127A5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盐酸芬特明托</w:t>
            </w: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酯缓释胶囊</w:t>
            </w: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06A711E" w14:textId="453ADC3A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Phentermine Hydrochloride and </w:t>
            </w:r>
            <w:proofErr w:type="spell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Topiramate</w:t>
            </w:r>
            <w:proofErr w:type="spell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extended release capsules/</w:t>
            </w:r>
            <w:proofErr w:type="spell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Qsymia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</w:tcPr>
          <w:p w14:paraId="5E8247FD" w14:textId="7E1F7D80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11.25mg /69mg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10A8AD" w14:textId="191E8EF0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Vivus</w:t>
            </w:r>
            <w:proofErr w:type="spell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523C0AC" w14:textId="445E5558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7A37FCC" w14:textId="71FCE7BC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052" w:type="dxa"/>
            <w:vAlign w:val="center"/>
          </w:tcPr>
          <w:p w14:paraId="466A6B82" w14:textId="138EDDD8" w:rsidR="009517CC" w:rsidRPr="009517CC" w:rsidRDefault="009517CC" w:rsidP="009517CC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同上。</w:t>
            </w:r>
          </w:p>
        </w:tc>
      </w:tr>
      <w:tr w:rsidR="009517CC" w:rsidRPr="001078D8" w14:paraId="0685E1C2" w14:textId="77777777" w:rsidTr="0020504C">
        <w:trPr>
          <w:cantSplit/>
          <w:trHeight w:val="900"/>
        </w:trPr>
        <w:tc>
          <w:tcPr>
            <w:tcW w:w="852" w:type="dxa"/>
            <w:shd w:val="clear" w:color="auto" w:fill="auto"/>
            <w:noWrap/>
            <w:vAlign w:val="center"/>
          </w:tcPr>
          <w:p w14:paraId="713B8A61" w14:textId="77777777" w:rsidR="009517CC" w:rsidRPr="009517CC" w:rsidRDefault="009517CC" w:rsidP="009517CC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1438AE71" w14:textId="0E52FE2D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盐酸芬特明托</w:t>
            </w: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酯缓释胶囊</w:t>
            </w: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D88DA9F" w14:textId="20EDC6F6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Phentermine Hydrochloride and </w:t>
            </w:r>
            <w:proofErr w:type="spell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Topiramate</w:t>
            </w:r>
            <w:proofErr w:type="spell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extended release capsules/</w:t>
            </w:r>
            <w:proofErr w:type="spell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Qsymia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</w:tcPr>
          <w:p w14:paraId="66380117" w14:textId="5CF69133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 /96mg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8ECED0" w14:textId="7A2D3674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Vivus</w:t>
            </w:r>
            <w:proofErr w:type="spell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AA0B3EA" w14:textId="338EF3AE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222F43F" w14:textId="0E2737A6" w:rsidR="009517CC" w:rsidRPr="009517CC" w:rsidRDefault="009517CC" w:rsidP="00951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052" w:type="dxa"/>
            <w:vAlign w:val="center"/>
          </w:tcPr>
          <w:p w14:paraId="5200DF5D" w14:textId="7542F8A7" w:rsidR="009517CC" w:rsidRPr="009517CC" w:rsidRDefault="009517CC" w:rsidP="009517CC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同上。</w:t>
            </w:r>
          </w:p>
        </w:tc>
      </w:tr>
      <w:tr w:rsidR="0020504C" w:rsidRPr="001078D8" w14:paraId="409C01FD" w14:textId="77777777" w:rsidTr="0020504C">
        <w:trPr>
          <w:cantSplit/>
          <w:trHeight w:val="900"/>
        </w:trPr>
        <w:tc>
          <w:tcPr>
            <w:tcW w:w="852" w:type="dxa"/>
            <w:shd w:val="clear" w:color="auto" w:fill="auto"/>
            <w:noWrap/>
            <w:vAlign w:val="center"/>
          </w:tcPr>
          <w:p w14:paraId="5E5661F6" w14:textId="77777777" w:rsidR="0020504C" w:rsidRPr="009517CC" w:rsidRDefault="0020504C" w:rsidP="0020504C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32F8FACD" w14:textId="320DCF01" w:rsidR="0020504C" w:rsidRPr="009517CC" w:rsidRDefault="0020504C" w:rsidP="002050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A797F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盐酸头</w:t>
            </w:r>
            <w:proofErr w:type="gramStart"/>
            <w:r w:rsidRPr="006A797F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孢卡品酯片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14:paraId="14BA5B8C" w14:textId="56CB165B" w:rsidR="0020504C" w:rsidRPr="009517CC" w:rsidRDefault="0020504C" w:rsidP="002050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97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Cefcapene</w:t>
            </w:r>
            <w:proofErr w:type="spellEnd"/>
            <w:r w:rsidRPr="006A797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97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pivoxil</w:t>
            </w:r>
            <w:proofErr w:type="spellEnd"/>
            <w:r w:rsidRPr="006A797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tablet/</w:t>
            </w:r>
            <w:proofErr w:type="spellStart"/>
            <w:r w:rsidRPr="006A797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Flomox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</w:tcPr>
          <w:p w14:paraId="4C56D1DD" w14:textId="4825755A" w:rsidR="0020504C" w:rsidRPr="009517CC" w:rsidRDefault="0020504C" w:rsidP="002050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A797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75mg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9BDFA7B" w14:textId="6013E4CC" w:rsidR="0020504C" w:rsidRPr="009517CC" w:rsidRDefault="0020504C" w:rsidP="002050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A797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塩</w:t>
            </w:r>
            <w:r w:rsidRPr="006A797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野</w:t>
            </w:r>
            <w:r w:rsidRPr="006A797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義製薬</w:t>
            </w:r>
            <w:r w:rsidRPr="006A797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83F0970" w14:textId="763D3D8C" w:rsidR="0020504C" w:rsidRPr="009517CC" w:rsidRDefault="0020504C" w:rsidP="002050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797F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未进口原研</w:t>
            </w:r>
            <w:proofErr w:type="gramEnd"/>
            <w:r w:rsidRPr="006A797F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559F5D7" w14:textId="266F2317" w:rsidR="0020504C" w:rsidRPr="009517CC" w:rsidRDefault="0020504C" w:rsidP="002050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A797F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052" w:type="dxa"/>
            <w:vAlign w:val="center"/>
          </w:tcPr>
          <w:p w14:paraId="5738FF03" w14:textId="366B89CD" w:rsidR="0020504C" w:rsidRPr="009517CC" w:rsidRDefault="0020504C" w:rsidP="0020504C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A797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该规格小于单次给药剂量，</w:t>
            </w:r>
            <w:r w:rsidRPr="009517C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审议未通过。</w:t>
            </w:r>
          </w:p>
        </w:tc>
      </w:tr>
    </w:tbl>
    <w:p w14:paraId="2DEDFC10" w14:textId="213A65AE" w:rsidR="00C118A6" w:rsidRPr="001078D8" w:rsidRDefault="00C118A6" w:rsidP="006832D3">
      <w:pPr>
        <w:tabs>
          <w:tab w:val="left" w:pos="4410"/>
        </w:tabs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</w:pPr>
    </w:p>
    <w:sectPr w:rsidR="00C118A6" w:rsidRPr="001078D8" w:rsidSect="00A8534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798DA" w14:textId="77777777" w:rsidR="00197268" w:rsidRDefault="00197268" w:rsidP="005F1836">
      <w:r>
        <w:separator/>
      </w:r>
    </w:p>
  </w:endnote>
  <w:endnote w:type="continuationSeparator" w:id="0">
    <w:p w14:paraId="44635350" w14:textId="77777777" w:rsidR="00197268" w:rsidRDefault="00197268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31523A41" w:rsidR="0099683D" w:rsidRPr="005F1836" w:rsidRDefault="0099683D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32D3" w:rsidRPr="006832D3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11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AF3AC" w14:textId="77777777" w:rsidR="00197268" w:rsidRDefault="00197268" w:rsidP="005F1836">
      <w:r>
        <w:separator/>
      </w:r>
    </w:p>
  </w:footnote>
  <w:footnote w:type="continuationSeparator" w:id="0">
    <w:p w14:paraId="5AA90370" w14:textId="77777777" w:rsidR="00197268" w:rsidRDefault="00197268" w:rsidP="005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455177"/>
    <w:multiLevelType w:val="hybridMultilevel"/>
    <w:tmpl w:val="AABA1A60"/>
    <w:lvl w:ilvl="0" w:tplc="6D0A893A">
      <w:start w:val="1"/>
      <w:numFmt w:val="decimal"/>
      <w:lvlText w:val="38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AD56F4"/>
    <w:multiLevelType w:val="hybridMultilevel"/>
    <w:tmpl w:val="4FB2BE06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2"/>
  </w:num>
  <w:num w:numId="5">
    <w:abstractNumId w:val="0"/>
  </w:num>
  <w:num w:numId="6">
    <w:abstractNumId w:val="14"/>
  </w:num>
  <w:num w:numId="7">
    <w:abstractNumId w:val="6"/>
  </w:num>
  <w:num w:numId="8">
    <w:abstractNumId w:val="15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  <w:num w:numId="13">
    <w:abstractNumId w:val="11"/>
  </w:num>
  <w:num w:numId="14">
    <w:abstractNumId w:val="18"/>
  </w:num>
  <w:num w:numId="15">
    <w:abstractNumId w:val="1"/>
  </w:num>
  <w:num w:numId="16">
    <w:abstractNumId w:val="9"/>
  </w:num>
  <w:num w:numId="17">
    <w:abstractNumId w:val="16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01"/>
    <w:rsid w:val="000027C2"/>
    <w:rsid w:val="00002889"/>
    <w:rsid w:val="00002B0A"/>
    <w:rsid w:val="0000451D"/>
    <w:rsid w:val="0000458E"/>
    <w:rsid w:val="00004B3F"/>
    <w:rsid w:val="00006F70"/>
    <w:rsid w:val="00007424"/>
    <w:rsid w:val="00011FBB"/>
    <w:rsid w:val="00012E70"/>
    <w:rsid w:val="0001656F"/>
    <w:rsid w:val="00016EA5"/>
    <w:rsid w:val="000172E7"/>
    <w:rsid w:val="00020612"/>
    <w:rsid w:val="00020A19"/>
    <w:rsid w:val="00020B1D"/>
    <w:rsid w:val="00021D3D"/>
    <w:rsid w:val="000227D3"/>
    <w:rsid w:val="0002473B"/>
    <w:rsid w:val="00026F81"/>
    <w:rsid w:val="00031E66"/>
    <w:rsid w:val="000353A8"/>
    <w:rsid w:val="000356E8"/>
    <w:rsid w:val="00036649"/>
    <w:rsid w:val="0004326F"/>
    <w:rsid w:val="00044F71"/>
    <w:rsid w:val="00046A36"/>
    <w:rsid w:val="00047EF8"/>
    <w:rsid w:val="0005045F"/>
    <w:rsid w:val="00050EC1"/>
    <w:rsid w:val="00051D92"/>
    <w:rsid w:val="00054A8F"/>
    <w:rsid w:val="00055AA1"/>
    <w:rsid w:val="00056D7F"/>
    <w:rsid w:val="00057393"/>
    <w:rsid w:val="00066D1A"/>
    <w:rsid w:val="00066DF3"/>
    <w:rsid w:val="00073B66"/>
    <w:rsid w:val="00080300"/>
    <w:rsid w:val="0008149F"/>
    <w:rsid w:val="0008216F"/>
    <w:rsid w:val="00082CDE"/>
    <w:rsid w:val="00083DF2"/>
    <w:rsid w:val="00084DF9"/>
    <w:rsid w:val="00085A43"/>
    <w:rsid w:val="00086E96"/>
    <w:rsid w:val="00087737"/>
    <w:rsid w:val="0009295A"/>
    <w:rsid w:val="00093126"/>
    <w:rsid w:val="0009318D"/>
    <w:rsid w:val="00093D6B"/>
    <w:rsid w:val="0009479C"/>
    <w:rsid w:val="00095656"/>
    <w:rsid w:val="000958FB"/>
    <w:rsid w:val="00097D0A"/>
    <w:rsid w:val="000A1FCB"/>
    <w:rsid w:val="000A2F04"/>
    <w:rsid w:val="000A4061"/>
    <w:rsid w:val="000A44EC"/>
    <w:rsid w:val="000A78F8"/>
    <w:rsid w:val="000B0C68"/>
    <w:rsid w:val="000B0C8B"/>
    <w:rsid w:val="000B4F91"/>
    <w:rsid w:val="000B7CD6"/>
    <w:rsid w:val="000B7D64"/>
    <w:rsid w:val="000C03E5"/>
    <w:rsid w:val="000C09FA"/>
    <w:rsid w:val="000C3E32"/>
    <w:rsid w:val="000C49C0"/>
    <w:rsid w:val="000C4B55"/>
    <w:rsid w:val="000C6008"/>
    <w:rsid w:val="000C6067"/>
    <w:rsid w:val="000C6909"/>
    <w:rsid w:val="000C6944"/>
    <w:rsid w:val="000D24FD"/>
    <w:rsid w:val="000D3904"/>
    <w:rsid w:val="000D39BA"/>
    <w:rsid w:val="000D6AB8"/>
    <w:rsid w:val="000D6CF5"/>
    <w:rsid w:val="000D7711"/>
    <w:rsid w:val="000E00AE"/>
    <w:rsid w:val="000E1476"/>
    <w:rsid w:val="000E5057"/>
    <w:rsid w:val="000E70CB"/>
    <w:rsid w:val="000E7126"/>
    <w:rsid w:val="000E7B9A"/>
    <w:rsid w:val="000F04AD"/>
    <w:rsid w:val="000F06A5"/>
    <w:rsid w:val="000F0BBB"/>
    <w:rsid w:val="000F0BC2"/>
    <w:rsid w:val="000F3AA4"/>
    <w:rsid w:val="000F3D55"/>
    <w:rsid w:val="000F4F32"/>
    <w:rsid w:val="000F654A"/>
    <w:rsid w:val="00100710"/>
    <w:rsid w:val="00100B5B"/>
    <w:rsid w:val="00102B98"/>
    <w:rsid w:val="00103939"/>
    <w:rsid w:val="001042D8"/>
    <w:rsid w:val="00104405"/>
    <w:rsid w:val="00105F98"/>
    <w:rsid w:val="001062CC"/>
    <w:rsid w:val="00107359"/>
    <w:rsid w:val="001078D8"/>
    <w:rsid w:val="00107DD4"/>
    <w:rsid w:val="0011007A"/>
    <w:rsid w:val="00110182"/>
    <w:rsid w:val="00111251"/>
    <w:rsid w:val="00112A20"/>
    <w:rsid w:val="00113565"/>
    <w:rsid w:val="0011378C"/>
    <w:rsid w:val="00114E43"/>
    <w:rsid w:val="00116545"/>
    <w:rsid w:val="00116D4C"/>
    <w:rsid w:val="001178C0"/>
    <w:rsid w:val="00117F9D"/>
    <w:rsid w:val="001206CF"/>
    <w:rsid w:val="00120FEB"/>
    <w:rsid w:val="00121405"/>
    <w:rsid w:val="00121885"/>
    <w:rsid w:val="00121A08"/>
    <w:rsid w:val="00125971"/>
    <w:rsid w:val="00125D79"/>
    <w:rsid w:val="001262E2"/>
    <w:rsid w:val="00126750"/>
    <w:rsid w:val="001302A7"/>
    <w:rsid w:val="00131575"/>
    <w:rsid w:val="001324CF"/>
    <w:rsid w:val="00133EC5"/>
    <w:rsid w:val="00136553"/>
    <w:rsid w:val="00136D29"/>
    <w:rsid w:val="00137285"/>
    <w:rsid w:val="001373CA"/>
    <w:rsid w:val="00137673"/>
    <w:rsid w:val="00137E1A"/>
    <w:rsid w:val="001420F1"/>
    <w:rsid w:val="00143519"/>
    <w:rsid w:val="00143670"/>
    <w:rsid w:val="00144CA3"/>
    <w:rsid w:val="00144CA8"/>
    <w:rsid w:val="00145523"/>
    <w:rsid w:val="0014700A"/>
    <w:rsid w:val="00152C17"/>
    <w:rsid w:val="00152E45"/>
    <w:rsid w:val="001535CF"/>
    <w:rsid w:val="001544C9"/>
    <w:rsid w:val="00154E82"/>
    <w:rsid w:val="00155292"/>
    <w:rsid w:val="00155B36"/>
    <w:rsid w:val="00164146"/>
    <w:rsid w:val="00170D24"/>
    <w:rsid w:val="00170E04"/>
    <w:rsid w:val="0017172C"/>
    <w:rsid w:val="00175D10"/>
    <w:rsid w:val="00177622"/>
    <w:rsid w:val="001823E3"/>
    <w:rsid w:val="00182644"/>
    <w:rsid w:val="0018281B"/>
    <w:rsid w:val="00182EC2"/>
    <w:rsid w:val="00186392"/>
    <w:rsid w:val="00186AC4"/>
    <w:rsid w:val="00186BA6"/>
    <w:rsid w:val="00190565"/>
    <w:rsid w:val="0019174B"/>
    <w:rsid w:val="00191AF4"/>
    <w:rsid w:val="0019251C"/>
    <w:rsid w:val="00195659"/>
    <w:rsid w:val="00197268"/>
    <w:rsid w:val="00197538"/>
    <w:rsid w:val="00197EBB"/>
    <w:rsid w:val="001A0B50"/>
    <w:rsid w:val="001A0FBE"/>
    <w:rsid w:val="001A1060"/>
    <w:rsid w:val="001A432A"/>
    <w:rsid w:val="001A456B"/>
    <w:rsid w:val="001A6ACB"/>
    <w:rsid w:val="001A6F63"/>
    <w:rsid w:val="001B1938"/>
    <w:rsid w:val="001B1986"/>
    <w:rsid w:val="001B237D"/>
    <w:rsid w:val="001B53A9"/>
    <w:rsid w:val="001B6739"/>
    <w:rsid w:val="001B75AB"/>
    <w:rsid w:val="001C0B62"/>
    <w:rsid w:val="001C162F"/>
    <w:rsid w:val="001C1B85"/>
    <w:rsid w:val="001C1D8F"/>
    <w:rsid w:val="001C1DCA"/>
    <w:rsid w:val="001C1E4C"/>
    <w:rsid w:val="001C2E84"/>
    <w:rsid w:val="001C4133"/>
    <w:rsid w:val="001C63F5"/>
    <w:rsid w:val="001C69E1"/>
    <w:rsid w:val="001C7ED4"/>
    <w:rsid w:val="001D07F0"/>
    <w:rsid w:val="001D1A08"/>
    <w:rsid w:val="001D251D"/>
    <w:rsid w:val="001D28D3"/>
    <w:rsid w:val="001D39EF"/>
    <w:rsid w:val="001D4C66"/>
    <w:rsid w:val="001D5215"/>
    <w:rsid w:val="001D532C"/>
    <w:rsid w:val="001D588E"/>
    <w:rsid w:val="001E0640"/>
    <w:rsid w:val="001E06D5"/>
    <w:rsid w:val="001E1A29"/>
    <w:rsid w:val="001E7102"/>
    <w:rsid w:val="001F356D"/>
    <w:rsid w:val="001F3689"/>
    <w:rsid w:val="002022B3"/>
    <w:rsid w:val="002025ED"/>
    <w:rsid w:val="00202A19"/>
    <w:rsid w:val="00202CB6"/>
    <w:rsid w:val="00203243"/>
    <w:rsid w:val="00203EBD"/>
    <w:rsid w:val="002045C9"/>
    <w:rsid w:val="00204682"/>
    <w:rsid w:val="00204ECC"/>
    <w:rsid w:val="0020504C"/>
    <w:rsid w:val="002056EE"/>
    <w:rsid w:val="002056FC"/>
    <w:rsid w:val="00205E4E"/>
    <w:rsid w:val="0020701E"/>
    <w:rsid w:val="00210C4B"/>
    <w:rsid w:val="00211199"/>
    <w:rsid w:val="00211AB8"/>
    <w:rsid w:val="00212EB3"/>
    <w:rsid w:val="00220C13"/>
    <w:rsid w:val="00220DCE"/>
    <w:rsid w:val="002234A5"/>
    <w:rsid w:val="002240CB"/>
    <w:rsid w:val="002271AF"/>
    <w:rsid w:val="0022735B"/>
    <w:rsid w:val="00230AA1"/>
    <w:rsid w:val="002320CB"/>
    <w:rsid w:val="00232442"/>
    <w:rsid w:val="00232F02"/>
    <w:rsid w:val="0023328C"/>
    <w:rsid w:val="002338B5"/>
    <w:rsid w:val="00235188"/>
    <w:rsid w:val="0023629D"/>
    <w:rsid w:val="00241F3F"/>
    <w:rsid w:val="00242799"/>
    <w:rsid w:val="0024295D"/>
    <w:rsid w:val="002454B4"/>
    <w:rsid w:val="00245A01"/>
    <w:rsid w:val="00246C21"/>
    <w:rsid w:val="0024711F"/>
    <w:rsid w:val="002516C0"/>
    <w:rsid w:val="002527D0"/>
    <w:rsid w:val="00257AED"/>
    <w:rsid w:val="0026005A"/>
    <w:rsid w:val="00260C1D"/>
    <w:rsid w:val="00262D7B"/>
    <w:rsid w:val="00262E03"/>
    <w:rsid w:val="00265319"/>
    <w:rsid w:val="00266818"/>
    <w:rsid w:val="0026766D"/>
    <w:rsid w:val="00270075"/>
    <w:rsid w:val="00270C7C"/>
    <w:rsid w:val="00270E35"/>
    <w:rsid w:val="00271725"/>
    <w:rsid w:val="00272FEE"/>
    <w:rsid w:val="00275093"/>
    <w:rsid w:val="00275658"/>
    <w:rsid w:val="0027574C"/>
    <w:rsid w:val="00275D36"/>
    <w:rsid w:val="00276B29"/>
    <w:rsid w:val="00277ED5"/>
    <w:rsid w:val="00281CDB"/>
    <w:rsid w:val="00281EAD"/>
    <w:rsid w:val="00282153"/>
    <w:rsid w:val="00282894"/>
    <w:rsid w:val="00286F63"/>
    <w:rsid w:val="00292774"/>
    <w:rsid w:val="002959F4"/>
    <w:rsid w:val="002A0B1B"/>
    <w:rsid w:val="002A0F7F"/>
    <w:rsid w:val="002A2353"/>
    <w:rsid w:val="002A60B0"/>
    <w:rsid w:val="002A6328"/>
    <w:rsid w:val="002A6644"/>
    <w:rsid w:val="002A77C6"/>
    <w:rsid w:val="002B1C5D"/>
    <w:rsid w:val="002B2954"/>
    <w:rsid w:val="002B2E4A"/>
    <w:rsid w:val="002B52FA"/>
    <w:rsid w:val="002B5599"/>
    <w:rsid w:val="002C2373"/>
    <w:rsid w:val="002C297C"/>
    <w:rsid w:val="002C3AAB"/>
    <w:rsid w:val="002C4CC4"/>
    <w:rsid w:val="002D0589"/>
    <w:rsid w:val="002D07D9"/>
    <w:rsid w:val="002D2A06"/>
    <w:rsid w:val="002D347E"/>
    <w:rsid w:val="002D3732"/>
    <w:rsid w:val="002D44DE"/>
    <w:rsid w:val="002D6587"/>
    <w:rsid w:val="002D695B"/>
    <w:rsid w:val="002D7FBF"/>
    <w:rsid w:val="002E05C4"/>
    <w:rsid w:val="002E1854"/>
    <w:rsid w:val="002E2289"/>
    <w:rsid w:val="002E2B51"/>
    <w:rsid w:val="002E2C2B"/>
    <w:rsid w:val="002E4DF6"/>
    <w:rsid w:val="002E5579"/>
    <w:rsid w:val="002E57B1"/>
    <w:rsid w:val="002E5D0D"/>
    <w:rsid w:val="002F136F"/>
    <w:rsid w:val="002F1F49"/>
    <w:rsid w:val="002F2E1E"/>
    <w:rsid w:val="002F3ADE"/>
    <w:rsid w:val="002F3BEE"/>
    <w:rsid w:val="002F49EE"/>
    <w:rsid w:val="002F4E12"/>
    <w:rsid w:val="002F5BA9"/>
    <w:rsid w:val="002F6AB6"/>
    <w:rsid w:val="002F6B05"/>
    <w:rsid w:val="002F798F"/>
    <w:rsid w:val="002F7E86"/>
    <w:rsid w:val="00301E29"/>
    <w:rsid w:val="0030282A"/>
    <w:rsid w:val="00302B2D"/>
    <w:rsid w:val="00303C19"/>
    <w:rsid w:val="00303C51"/>
    <w:rsid w:val="00305032"/>
    <w:rsid w:val="00306847"/>
    <w:rsid w:val="00306E23"/>
    <w:rsid w:val="00306FEF"/>
    <w:rsid w:val="003077E2"/>
    <w:rsid w:val="00312553"/>
    <w:rsid w:val="00313281"/>
    <w:rsid w:val="003142C5"/>
    <w:rsid w:val="00314438"/>
    <w:rsid w:val="00314DC7"/>
    <w:rsid w:val="003157A7"/>
    <w:rsid w:val="003165B9"/>
    <w:rsid w:val="00316CE0"/>
    <w:rsid w:val="003171DC"/>
    <w:rsid w:val="003174F4"/>
    <w:rsid w:val="0032059D"/>
    <w:rsid w:val="003247B4"/>
    <w:rsid w:val="00327CDF"/>
    <w:rsid w:val="00330AF8"/>
    <w:rsid w:val="003342CA"/>
    <w:rsid w:val="00336254"/>
    <w:rsid w:val="0033695E"/>
    <w:rsid w:val="00340EA8"/>
    <w:rsid w:val="003438C1"/>
    <w:rsid w:val="00344CC3"/>
    <w:rsid w:val="00345256"/>
    <w:rsid w:val="003463B1"/>
    <w:rsid w:val="0034683D"/>
    <w:rsid w:val="00351AEC"/>
    <w:rsid w:val="00351FEB"/>
    <w:rsid w:val="00353408"/>
    <w:rsid w:val="003544C8"/>
    <w:rsid w:val="00355BC8"/>
    <w:rsid w:val="00357CFE"/>
    <w:rsid w:val="003644AC"/>
    <w:rsid w:val="003647CE"/>
    <w:rsid w:val="003663B9"/>
    <w:rsid w:val="00366806"/>
    <w:rsid w:val="003672D8"/>
    <w:rsid w:val="00367807"/>
    <w:rsid w:val="00367B0F"/>
    <w:rsid w:val="00367C46"/>
    <w:rsid w:val="0037048D"/>
    <w:rsid w:val="003710DE"/>
    <w:rsid w:val="0037194F"/>
    <w:rsid w:val="00371C1F"/>
    <w:rsid w:val="003757A0"/>
    <w:rsid w:val="00375CFA"/>
    <w:rsid w:val="00375E70"/>
    <w:rsid w:val="0037693C"/>
    <w:rsid w:val="00377D49"/>
    <w:rsid w:val="00380479"/>
    <w:rsid w:val="0038111F"/>
    <w:rsid w:val="00382109"/>
    <w:rsid w:val="003824E1"/>
    <w:rsid w:val="00384021"/>
    <w:rsid w:val="003841E5"/>
    <w:rsid w:val="00385594"/>
    <w:rsid w:val="00386CE6"/>
    <w:rsid w:val="00387863"/>
    <w:rsid w:val="003901F3"/>
    <w:rsid w:val="00390B82"/>
    <w:rsid w:val="0039116A"/>
    <w:rsid w:val="003934DD"/>
    <w:rsid w:val="0039645F"/>
    <w:rsid w:val="00397A78"/>
    <w:rsid w:val="00397F2A"/>
    <w:rsid w:val="003A035A"/>
    <w:rsid w:val="003A0ED3"/>
    <w:rsid w:val="003A1254"/>
    <w:rsid w:val="003A4786"/>
    <w:rsid w:val="003A5201"/>
    <w:rsid w:val="003A62A8"/>
    <w:rsid w:val="003A6D0D"/>
    <w:rsid w:val="003B158D"/>
    <w:rsid w:val="003B7641"/>
    <w:rsid w:val="003B7904"/>
    <w:rsid w:val="003C0F6F"/>
    <w:rsid w:val="003C176B"/>
    <w:rsid w:val="003C2A19"/>
    <w:rsid w:val="003C2ED0"/>
    <w:rsid w:val="003C309F"/>
    <w:rsid w:val="003C4643"/>
    <w:rsid w:val="003C71AB"/>
    <w:rsid w:val="003C788E"/>
    <w:rsid w:val="003D1195"/>
    <w:rsid w:val="003D17DE"/>
    <w:rsid w:val="003D19F7"/>
    <w:rsid w:val="003D2746"/>
    <w:rsid w:val="003D29A2"/>
    <w:rsid w:val="003D4D69"/>
    <w:rsid w:val="003D4E99"/>
    <w:rsid w:val="003D7C9F"/>
    <w:rsid w:val="003E035A"/>
    <w:rsid w:val="003E05DE"/>
    <w:rsid w:val="003E193F"/>
    <w:rsid w:val="003E29EF"/>
    <w:rsid w:val="003E347B"/>
    <w:rsid w:val="003E412D"/>
    <w:rsid w:val="003E4978"/>
    <w:rsid w:val="003E5E40"/>
    <w:rsid w:val="003E6FA8"/>
    <w:rsid w:val="003E7F12"/>
    <w:rsid w:val="003F221A"/>
    <w:rsid w:val="003F261A"/>
    <w:rsid w:val="003F26A6"/>
    <w:rsid w:val="003F2C07"/>
    <w:rsid w:val="003F3BCC"/>
    <w:rsid w:val="003F3F1B"/>
    <w:rsid w:val="003F4E1B"/>
    <w:rsid w:val="003F6908"/>
    <w:rsid w:val="004009A5"/>
    <w:rsid w:val="00405A8C"/>
    <w:rsid w:val="00407D3B"/>
    <w:rsid w:val="004140DA"/>
    <w:rsid w:val="00414C3B"/>
    <w:rsid w:val="00417262"/>
    <w:rsid w:val="00422426"/>
    <w:rsid w:val="00422C1C"/>
    <w:rsid w:val="00423693"/>
    <w:rsid w:val="00424CB6"/>
    <w:rsid w:val="00425B54"/>
    <w:rsid w:val="004336F0"/>
    <w:rsid w:val="00433702"/>
    <w:rsid w:val="0043635A"/>
    <w:rsid w:val="0043744B"/>
    <w:rsid w:val="004377A8"/>
    <w:rsid w:val="00441DC5"/>
    <w:rsid w:val="00441E6E"/>
    <w:rsid w:val="004436E4"/>
    <w:rsid w:val="004450EA"/>
    <w:rsid w:val="00445C69"/>
    <w:rsid w:val="00446222"/>
    <w:rsid w:val="00450311"/>
    <w:rsid w:val="00451FC9"/>
    <w:rsid w:val="004540EF"/>
    <w:rsid w:val="00457272"/>
    <w:rsid w:val="0045731F"/>
    <w:rsid w:val="00460C62"/>
    <w:rsid w:val="00461AFF"/>
    <w:rsid w:val="00462E24"/>
    <w:rsid w:val="00465116"/>
    <w:rsid w:val="004679C1"/>
    <w:rsid w:val="00467BE0"/>
    <w:rsid w:val="0047221C"/>
    <w:rsid w:val="004723A6"/>
    <w:rsid w:val="004743EC"/>
    <w:rsid w:val="00474E96"/>
    <w:rsid w:val="00476855"/>
    <w:rsid w:val="00477A7E"/>
    <w:rsid w:val="00480CB4"/>
    <w:rsid w:val="00485CC0"/>
    <w:rsid w:val="00485CF7"/>
    <w:rsid w:val="004877F5"/>
    <w:rsid w:val="00487DFA"/>
    <w:rsid w:val="004900B2"/>
    <w:rsid w:val="00490620"/>
    <w:rsid w:val="004907D3"/>
    <w:rsid w:val="00491FC7"/>
    <w:rsid w:val="00492A8B"/>
    <w:rsid w:val="00493BBB"/>
    <w:rsid w:val="00493F65"/>
    <w:rsid w:val="0049567F"/>
    <w:rsid w:val="00496441"/>
    <w:rsid w:val="004A0026"/>
    <w:rsid w:val="004A1F3A"/>
    <w:rsid w:val="004A2553"/>
    <w:rsid w:val="004A556B"/>
    <w:rsid w:val="004A7DD6"/>
    <w:rsid w:val="004B041B"/>
    <w:rsid w:val="004B2542"/>
    <w:rsid w:val="004B58E3"/>
    <w:rsid w:val="004B7EBF"/>
    <w:rsid w:val="004C09C8"/>
    <w:rsid w:val="004C14AD"/>
    <w:rsid w:val="004C4178"/>
    <w:rsid w:val="004C5442"/>
    <w:rsid w:val="004C6404"/>
    <w:rsid w:val="004C6AAE"/>
    <w:rsid w:val="004C6DD5"/>
    <w:rsid w:val="004C7043"/>
    <w:rsid w:val="004C76BE"/>
    <w:rsid w:val="004C7E49"/>
    <w:rsid w:val="004D06F1"/>
    <w:rsid w:val="004D172A"/>
    <w:rsid w:val="004D3E34"/>
    <w:rsid w:val="004D4676"/>
    <w:rsid w:val="004D48F3"/>
    <w:rsid w:val="004D7357"/>
    <w:rsid w:val="004E0172"/>
    <w:rsid w:val="004E3394"/>
    <w:rsid w:val="004E3BB3"/>
    <w:rsid w:val="004E3FB0"/>
    <w:rsid w:val="004E5C71"/>
    <w:rsid w:val="004F03D3"/>
    <w:rsid w:val="004F0BDF"/>
    <w:rsid w:val="004F5866"/>
    <w:rsid w:val="004F66E2"/>
    <w:rsid w:val="004F70EC"/>
    <w:rsid w:val="004F7805"/>
    <w:rsid w:val="00500448"/>
    <w:rsid w:val="00503FC0"/>
    <w:rsid w:val="00505DF0"/>
    <w:rsid w:val="0050632F"/>
    <w:rsid w:val="005120EB"/>
    <w:rsid w:val="00512707"/>
    <w:rsid w:val="00513220"/>
    <w:rsid w:val="00520565"/>
    <w:rsid w:val="005209A5"/>
    <w:rsid w:val="005219A3"/>
    <w:rsid w:val="00522770"/>
    <w:rsid w:val="005240B2"/>
    <w:rsid w:val="00526676"/>
    <w:rsid w:val="00526A84"/>
    <w:rsid w:val="00526BC3"/>
    <w:rsid w:val="00530C5E"/>
    <w:rsid w:val="00530F51"/>
    <w:rsid w:val="00530FAE"/>
    <w:rsid w:val="00531051"/>
    <w:rsid w:val="00535543"/>
    <w:rsid w:val="00535656"/>
    <w:rsid w:val="005364C2"/>
    <w:rsid w:val="00537881"/>
    <w:rsid w:val="00541AB6"/>
    <w:rsid w:val="00541B12"/>
    <w:rsid w:val="00541F60"/>
    <w:rsid w:val="00542107"/>
    <w:rsid w:val="00545455"/>
    <w:rsid w:val="00546424"/>
    <w:rsid w:val="00546B69"/>
    <w:rsid w:val="00546F5A"/>
    <w:rsid w:val="00553FB0"/>
    <w:rsid w:val="00554B40"/>
    <w:rsid w:val="00555774"/>
    <w:rsid w:val="00555947"/>
    <w:rsid w:val="00555C4E"/>
    <w:rsid w:val="00556FE8"/>
    <w:rsid w:val="0056166F"/>
    <w:rsid w:val="00562490"/>
    <w:rsid w:val="005626C3"/>
    <w:rsid w:val="005633DB"/>
    <w:rsid w:val="005634AF"/>
    <w:rsid w:val="005639D8"/>
    <w:rsid w:val="0056526D"/>
    <w:rsid w:val="005659F5"/>
    <w:rsid w:val="005660C8"/>
    <w:rsid w:val="00570C93"/>
    <w:rsid w:val="0057182F"/>
    <w:rsid w:val="00572B15"/>
    <w:rsid w:val="005731D8"/>
    <w:rsid w:val="00573B13"/>
    <w:rsid w:val="00574B1D"/>
    <w:rsid w:val="0057599F"/>
    <w:rsid w:val="00580DE6"/>
    <w:rsid w:val="00581008"/>
    <w:rsid w:val="00581B6E"/>
    <w:rsid w:val="005821C2"/>
    <w:rsid w:val="00582CC2"/>
    <w:rsid w:val="00583270"/>
    <w:rsid w:val="00583AD1"/>
    <w:rsid w:val="005841BD"/>
    <w:rsid w:val="005842EF"/>
    <w:rsid w:val="00590729"/>
    <w:rsid w:val="00592479"/>
    <w:rsid w:val="005949A5"/>
    <w:rsid w:val="0059626A"/>
    <w:rsid w:val="0059658D"/>
    <w:rsid w:val="0059754B"/>
    <w:rsid w:val="005A0FCD"/>
    <w:rsid w:val="005A148A"/>
    <w:rsid w:val="005A18A0"/>
    <w:rsid w:val="005A5E47"/>
    <w:rsid w:val="005A7047"/>
    <w:rsid w:val="005A78C0"/>
    <w:rsid w:val="005B060A"/>
    <w:rsid w:val="005B0F0E"/>
    <w:rsid w:val="005B20EB"/>
    <w:rsid w:val="005B3891"/>
    <w:rsid w:val="005B43F7"/>
    <w:rsid w:val="005B57DF"/>
    <w:rsid w:val="005C0097"/>
    <w:rsid w:val="005C272B"/>
    <w:rsid w:val="005C5964"/>
    <w:rsid w:val="005C7273"/>
    <w:rsid w:val="005D10B2"/>
    <w:rsid w:val="005D157D"/>
    <w:rsid w:val="005D1D75"/>
    <w:rsid w:val="005D2AFD"/>
    <w:rsid w:val="005D2B93"/>
    <w:rsid w:val="005D3061"/>
    <w:rsid w:val="005D354D"/>
    <w:rsid w:val="005D44FC"/>
    <w:rsid w:val="005D4826"/>
    <w:rsid w:val="005D504A"/>
    <w:rsid w:val="005D5E9D"/>
    <w:rsid w:val="005D77C7"/>
    <w:rsid w:val="005D7F8D"/>
    <w:rsid w:val="005E0992"/>
    <w:rsid w:val="005E37C0"/>
    <w:rsid w:val="005E5159"/>
    <w:rsid w:val="005E585B"/>
    <w:rsid w:val="005E7330"/>
    <w:rsid w:val="005F1306"/>
    <w:rsid w:val="005F1836"/>
    <w:rsid w:val="005F20E4"/>
    <w:rsid w:val="005F24F7"/>
    <w:rsid w:val="005F53DA"/>
    <w:rsid w:val="006004AB"/>
    <w:rsid w:val="00601545"/>
    <w:rsid w:val="006026A0"/>
    <w:rsid w:val="00603E10"/>
    <w:rsid w:val="0060618F"/>
    <w:rsid w:val="00606278"/>
    <w:rsid w:val="0060720B"/>
    <w:rsid w:val="006107DE"/>
    <w:rsid w:val="00611969"/>
    <w:rsid w:val="0061274E"/>
    <w:rsid w:val="00612B17"/>
    <w:rsid w:val="00612D3B"/>
    <w:rsid w:val="00614FAA"/>
    <w:rsid w:val="00615970"/>
    <w:rsid w:val="00625584"/>
    <w:rsid w:val="0062597E"/>
    <w:rsid w:val="0062655C"/>
    <w:rsid w:val="00626E90"/>
    <w:rsid w:val="00627CE0"/>
    <w:rsid w:val="006339A4"/>
    <w:rsid w:val="00637201"/>
    <w:rsid w:val="00640032"/>
    <w:rsid w:val="00640301"/>
    <w:rsid w:val="00640651"/>
    <w:rsid w:val="0064083E"/>
    <w:rsid w:val="00643267"/>
    <w:rsid w:val="006439B3"/>
    <w:rsid w:val="00643D3E"/>
    <w:rsid w:val="00643EF6"/>
    <w:rsid w:val="0064753A"/>
    <w:rsid w:val="00651A99"/>
    <w:rsid w:val="0065215F"/>
    <w:rsid w:val="006535BB"/>
    <w:rsid w:val="00653B0F"/>
    <w:rsid w:val="00654885"/>
    <w:rsid w:val="00654914"/>
    <w:rsid w:val="00655DE9"/>
    <w:rsid w:val="00656288"/>
    <w:rsid w:val="00656334"/>
    <w:rsid w:val="00661774"/>
    <w:rsid w:val="00662021"/>
    <w:rsid w:val="00662D8F"/>
    <w:rsid w:val="00664566"/>
    <w:rsid w:val="006661E0"/>
    <w:rsid w:val="0066626F"/>
    <w:rsid w:val="00670654"/>
    <w:rsid w:val="00671BDD"/>
    <w:rsid w:val="0067263C"/>
    <w:rsid w:val="00673A27"/>
    <w:rsid w:val="00674376"/>
    <w:rsid w:val="00674708"/>
    <w:rsid w:val="006764D2"/>
    <w:rsid w:val="00680838"/>
    <w:rsid w:val="00680903"/>
    <w:rsid w:val="00682489"/>
    <w:rsid w:val="00682A97"/>
    <w:rsid w:val="00682AD6"/>
    <w:rsid w:val="006832D3"/>
    <w:rsid w:val="00685177"/>
    <w:rsid w:val="0068537B"/>
    <w:rsid w:val="00686705"/>
    <w:rsid w:val="00687452"/>
    <w:rsid w:val="00687677"/>
    <w:rsid w:val="0068785B"/>
    <w:rsid w:val="00690283"/>
    <w:rsid w:val="00690EC4"/>
    <w:rsid w:val="0069258C"/>
    <w:rsid w:val="006938F9"/>
    <w:rsid w:val="00693C93"/>
    <w:rsid w:val="00695C4D"/>
    <w:rsid w:val="00696598"/>
    <w:rsid w:val="006A0E8A"/>
    <w:rsid w:val="006A1083"/>
    <w:rsid w:val="006A1985"/>
    <w:rsid w:val="006A298B"/>
    <w:rsid w:val="006A33D2"/>
    <w:rsid w:val="006A5793"/>
    <w:rsid w:val="006A5B59"/>
    <w:rsid w:val="006A6BDF"/>
    <w:rsid w:val="006A797F"/>
    <w:rsid w:val="006B1B5A"/>
    <w:rsid w:val="006B23DB"/>
    <w:rsid w:val="006B269B"/>
    <w:rsid w:val="006B38EA"/>
    <w:rsid w:val="006B3E02"/>
    <w:rsid w:val="006C035F"/>
    <w:rsid w:val="006C270E"/>
    <w:rsid w:val="006C2CF8"/>
    <w:rsid w:val="006C46E3"/>
    <w:rsid w:val="006C4F90"/>
    <w:rsid w:val="006C4FEE"/>
    <w:rsid w:val="006C6B08"/>
    <w:rsid w:val="006C6ECB"/>
    <w:rsid w:val="006C7344"/>
    <w:rsid w:val="006D0EAF"/>
    <w:rsid w:val="006D0FEF"/>
    <w:rsid w:val="006D1A75"/>
    <w:rsid w:val="006D202A"/>
    <w:rsid w:val="006D3DF8"/>
    <w:rsid w:val="006D542C"/>
    <w:rsid w:val="006D6020"/>
    <w:rsid w:val="006D64F7"/>
    <w:rsid w:val="006D6C46"/>
    <w:rsid w:val="006E067C"/>
    <w:rsid w:val="006E071F"/>
    <w:rsid w:val="006E51BD"/>
    <w:rsid w:val="006E5924"/>
    <w:rsid w:val="006E775D"/>
    <w:rsid w:val="006F0C6E"/>
    <w:rsid w:val="006F370B"/>
    <w:rsid w:val="006F3854"/>
    <w:rsid w:val="006F5692"/>
    <w:rsid w:val="006F77C1"/>
    <w:rsid w:val="006F7ABF"/>
    <w:rsid w:val="0070048E"/>
    <w:rsid w:val="00700BAC"/>
    <w:rsid w:val="00701CAD"/>
    <w:rsid w:val="00704CA4"/>
    <w:rsid w:val="00705A87"/>
    <w:rsid w:val="00705BA9"/>
    <w:rsid w:val="00705F2A"/>
    <w:rsid w:val="00706DBA"/>
    <w:rsid w:val="00706EC7"/>
    <w:rsid w:val="00707175"/>
    <w:rsid w:val="00710205"/>
    <w:rsid w:val="00711860"/>
    <w:rsid w:val="007152C6"/>
    <w:rsid w:val="0071728F"/>
    <w:rsid w:val="007173B3"/>
    <w:rsid w:val="00720970"/>
    <w:rsid w:val="00722107"/>
    <w:rsid w:val="00723726"/>
    <w:rsid w:val="00724E7D"/>
    <w:rsid w:val="00725BB1"/>
    <w:rsid w:val="00726D62"/>
    <w:rsid w:val="00727432"/>
    <w:rsid w:val="007321A0"/>
    <w:rsid w:val="00733132"/>
    <w:rsid w:val="007333B9"/>
    <w:rsid w:val="00733945"/>
    <w:rsid w:val="00734900"/>
    <w:rsid w:val="007349C3"/>
    <w:rsid w:val="00736DD3"/>
    <w:rsid w:val="00737492"/>
    <w:rsid w:val="00737DEB"/>
    <w:rsid w:val="00737F7E"/>
    <w:rsid w:val="00741627"/>
    <w:rsid w:val="007430FF"/>
    <w:rsid w:val="00743223"/>
    <w:rsid w:val="00745002"/>
    <w:rsid w:val="007515FE"/>
    <w:rsid w:val="00754E79"/>
    <w:rsid w:val="00755426"/>
    <w:rsid w:val="00756EB5"/>
    <w:rsid w:val="00757F53"/>
    <w:rsid w:val="007602C4"/>
    <w:rsid w:val="00764249"/>
    <w:rsid w:val="00766227"/>
    <w:rsid w:val="00766723"/>
    <w:rsid w:val="007678A9"/>
    <w:rsid w:val="007679B1"/>
    <w:rsid w:val="00771EF9"/>
    <w:rsid w:val="007748A5"/>
    <w:rsid w:val="00774931"/>
    <w:rsid w:val="00775FFC"/>
    <w:rsid w:val="00776DE8"/>
    <w:rsid w:val="007778ED"/>
    <w:rsid w:val="007811E3"/>
    <w:rsid w:val="00781D44"/>
    <w:rsid w:val="00782925"/>
    <w:rsid w:val="0078317E"/>
    <w:rsid w:val="00784200"/>
    <w:rsid w:val="007858EC"/>
    <w:rsid w:val="0079046E"/>
    <w:rsid w:val="00792F6E"/>
    <w:rsid w:val="00793846"/>
    <w:rsid w:val="00796090"/>
    <w:rsid w:val="0079703C"/>
    <w:rsid w:val="00797303"/>
    <w:rsid w:val="00797355"/>
    <w:rsid w:val="007A2D53"/>
    <w:rsid w:val="007A3052"/>
    <w:rsid w:val="007A33E3"/>
    <w:rsid w:val="007A44CB"/>
    <w:rsid w:val="007A4527"/>
    <w:rsid w:val="007A50B4"/>
    <w:rsid w:val="007A57D0"/>
    <w:rsid w:val="007A6474"/>
    <w:rsid w:val="007A6CA2"/>
    <w:rsid w:val="007A7098"/>
    <w:rsid w:val="007A7977"/>
    <w:rsid w:val="007B06E2"/>
    <w:rsid w:val="007B07D7"/>
    <w:rsid w:val="007B1BAB"/>
    <w:rsid w:val="007B30CB"/>
    <w:rsid w:val="007B3DE1"/>
    <w:rsid w:val="007B42EE"/>
    <w:rsid w:val="007B47A6"/>
    <w:rsid w:val="007C14DB"/>
    <w:rsid w:val="007C1FFC"/>
    <w:rsid w:val="007C284A"/>
    <w:rsid w:val="007C445F"/>
    <w:rsid w:val="007C4A60"/>
    <w:rsid w:val="007C54F6"/>
    <w:rsid w:val="007C6267"/>
    <w:rsid w:val="007C7EEA"/>
    <w:rsid w:val="007D0357"/>
    <w:rsid w:val="007D0B2D"/>
    <w:rsid w:val="007D0C59"/>
    <w:rsid w:val="007D1BEA"/>
    <w:rsid w:val="007D20DE"/>
    <w:rsid w:val="007D30FE"/>
    <w:rsid w:val="007E42CC"/>
    <w:rsid w:val="007E68CD"/>
    <w:rsid w:val="007E79E1"/>
    <w:rsid w:val="007E7CAD"/>
    <w:rsid w:val="007F0439"/>
    <w:rsid w:val="007F1262"/>
    <w:rsid w:val="007F4FBB"/>
    <w:rsid w:val="007F7A5A"/>
    <w:rsid w:val="00800D92"/>
    <w:rsid w:val="0080156E"/>
    <w:rsid w:val="0080357B"/>
    <w:rsid w:val="008042DC"/>
    <w:rsid w:val="00806395"/>
    <w:rsid w:val="00806B83"/>
    <w:rsid w:val="00811B3A"/>
    <w:rsid w:val="00813BB8"/>
    <w:rsid w:val="0081496D"/>
    <w:rsid w:val="008162F5"/>
    <w:rsid w:val="008175D7"/>
    <w:rsid w:val="008176AB"/>
    <w:rsid w:val="00820EC7"/>
    <w:rsid w:val="008212B4"/>
    <w:rsid w:val="008233BF"/>
    <w:rsid w:val="00823B7E"/>
    <w:rsid w:val="00824754"/>
    <w:rsid w:val="008256B8"/>
    <w:rsid w:val="0082733C"/>
    <w:rsid w:val="00830ABC"/>
    <w:rsid w:val="00832C74"/>
    <w:rsid w:val="00840015"/>
    <w:rsid w:val="008404BD"/>
    <w:rsid w:val="0084162E"/>
    <w:rsid w:val="008422C0"/>
    <w:rsid w:val="008475B7"/>
    <w:rsid w:val="00847E99"/>
    <w:rsid w:val="00851503"/>
    <w:rsid w:val="00852EB5"/>
    <w:rsid w:val="0085322D"/>
    <w:rsid w:val="008538EA"/>
    <w:rsid w:val="00854FBC"/>
    <w:rsid w:val="008570D3"/>
    <w:rsid w:val="00857CFC"/>
    <w:rsid w:val="0086005B"/>
    <w:rsid w:val="00860208"/>
    <w:rsid w:val="00861020"/>
    <w:rsid w:val="00862B66"/>
    <w:rsid w:val="00865347"/>
    <w:rsid w:val="008655C6"/>
    <w:rsid w:val="008658F9"/>
    <w:rsid w:val="00865D46"/>
    <w:rsid w:val="0086607E"/>
    <w:rsid w:val="00870E39"/>
    <w:rsid w:val="008728DE"/>
    <w:rsid w:val="00875554"/>
    <w:rsid w:val="00875DB0"/>
    <w:rsid w:val="0088123C"/>
    <w:rsid w:val="00883D45"/>
    <w:rsid w:val="00883FEB"/>
    <w:rsid w:val="00884AD0"/>
    <w:rsid w:val="0088570B"/>
    <w:rsid w:val="0088708C"/>
    <w:rsid w:val="00887533"/>
    <w:rsid w:val="008877C4"/>
    <w:rsid w:val="00891165"/>
    <w:rsid w:val="00891602"/>
    <w:rsid w:val="00892080"/>
    <w:rsid w:val="0089215C"/>
    <w:rsid w:val="00892B86"/>
    <w:rsid w:val="008941E4"/>
    <w:rsid w:val="00894B77"/>
    <w:rsid w:val="008957D0"/>
    <w:rsid w:val="00896E12"/>
    <w:rsid w:val="008A31D5"/>
    <w:rsid w:val="008A3D27"/>
    <w:rsid w:val="008A3EA0"/>
    <w:rsid w:val="008A53DA"/>
    <w:rsid w:val="008A5738"/>
    <w:rsid w:val="008A6976"/>
    <w:rsid w:val="008A6B64"/>
    <w:rsid w:val="008A7611"/>
    <w:rsid w:val="008B4B1F"/>
    <w:rsid w:val="008B64A7"/>
    <w:rsid w:val="008B6771"/>
    <w:rsid w:val="008B73C5"/>
    <w:rsid w:val="008B7879"/>
    <w:rsid w:val="008C1C46"/>
    <w:rsid w:val="008C319A"/>
    <w:rsid w:val="008C74B3"/>
    <w:rsid w:val="008C7F0D"/>
    <w:rsid w:val="008D0299"/>
    <w:rsid w:val="008D031E"/>
    <w:rsid w:val="008D2EF6"/>
    <w:rsid w:val="008D5DA5"/>
    <w:rsid w:val="008D5F9B"/>
    <w:rsid w:val="008D7435"/>
    <w:rsid w:val="008E0E31"/>
    <w:rsid w:val="008E15A4"/>
    <w:rsid w:val="008E46B1"/>
    <w:rsid w:val="008E59D5"/>
    <w:rsid w:val="008E6C2C"/>
    <w:rsid w:val="008E6F5B"/>
    <w:rsid w:val="008E7374"/>
    <w:rsid w:val="008F006C"/>
    <w:rsid w:val="008F057B"/>
    <w:rsid w:val="008F0898"/>
    <w:rsid w:val="008F2139"/>
    <w:rsid w:val="008F3298"/>
    <w:rsid w:val="008F5E88"/>
    <w:rsid w:val="008F751D"/>
    <w:rsid w:val="00900042"/>
    <w:rsid w:val="009000C1"/>
    <w:rsid w:val="00901041"/>
    <w:rsid w:val="009016DF"/>
    <w:rsid w:val="00901E33"/>
    <w:rsid w:val="00903B5D"/>
    <w:rsid w:val="00904256"/>
    <w:rsid w:val="0090560F"/>
    <w:rsid w:val="00905E66"/>
    <w:rsid w:val="009062C8"/>
    <w:rsid w:val="00910895"/>
    <w:rsid w:val="0091316E"/>
    <w:rsid w:val="009135FB"/>
    <w:rsid w:val="00915726"/>
    <w:rsid w:val="00915BBC"/>
    <w:rsid w:val="00916780"/>
    <w:rsid w:val="0092187B"/>
    <w:rsid w:val="00922214"/>
    <w:rsid w:val="00922EE2"/>
    <w:rsid w:val="00923092"/>
    <w:rsid w:val="00925C92"/>
    <w:rsid w:val="00927E70"/>
    <w:rsid w:val="00930226"/>
    <w:rsid w:val="0093065A"/>
    <w:rsid w:val="00930A32"/>
    <w:rsid w:val="00930FAC"/>
    <w:rsid w:val="00931653"/>
    <w:rsid w:val="00931E4E"/>
    <w:rsid w:val="00932432"/>
    <w:rsid w:val="0093324B"/>
    <w:rsid w:val="00933A6C"/>
    <w:rsid w:val="00934212"/>
    <w:rsid w:val="00934A17"/>
    <w:rsid w:val="00934BAE"/>
    <w:rsid w:val="00934CC6"/>
    <w:rsid w:val="00936FD6"/>
    <w:rsid w:val="009375D3"/>
    <w:rsid w:val="00940879"/>
    <w:rsid w:val="00943659"/>
    <w:rsid w:val="00943CB8"/>
    <w:rsid w:val="00946284"/>
    <w:rsid w:val="00947CDF"/>
    <w:rsid w:val="009505E4"/>
    <w:rsid w:val="009517CC"/>
    <w:rsid w:val="00952F13"/>
    <w:rsid w:val="009568F6"/>
    <w:rsid w:val="00956A03"/>
    <w:rsid w:val="009601EB"/>
    <w:rsid w:val="00960D9B"/>
    <w:rsid w:val="009623E3"/>
    <w:rsid w:val="009651DC"/>
    <w:rsid w:val="0097355E"/>
    <w:rsid w:val="009747DC"/>
    <w:rsid w:val="0097572B"/>
    <w:rsid w:val="00976CD9"/>
    <w:rsid w:val="00980197"/>
    <w:rsid w:val="0098151A"/>
    <w:rsid w:val="009827A6"/>
    <w:rsid w:val="00983AF3"/>
    <w:rsid w:val="00984CC1"/>
    <w:rsid w:val="00985D11"/>
    <w:rsid w:val="00992EFE"/>
    <w:rsid w:val="00995CC3"/>
    <w:rsid w:val="00995E7C"/>
    <w:rsid w:val="00996208"/>
    <w:rsid w:val="0099683D"/>
    <w:rsid w:val="009A1791"/>
    <w:rsid w:val="009A1BC0"/>
    <w:rsid w:val="009A459D"/>
    <w:rsid w:val="009A4C19"/>
    <w:rsid w:val="009A4C27"/>
    <w:rsid w:val="009A4CC7"/>
    <w:rsid w:val="009A5AA9"/>
    <w:rsid w:val="009A79BE"/>
    <w:rsid w:val="009A7F9D"/>
    <w:rsid w:val="009B03F4"/>
    <w:rsid w:val="009B0AD1"/>
    <w:rsid w:val="009B1ECC"/>
    <w:rsid w:val="009B335A"/>
    <w:rsid w:val="009B5C03"/>
    <w:rsid w:val="009B62BF"/>
    <w:rsid w:val="009B7346"/>
    <w:rsid w:val="009B7DDB"/>
    <w:rsid w:val="009C09A9"/>
    <w:rsid w:val="009C0CEC"/>
    <w:rsid w:val="009C3269"/>
    <w:rsid w:val="009C4ED4"/>
    <w:rsid w:val="009C5159"/>
    <w:rsid w:val="009C5190"/>
    <w:rsid w:val="009D0551"/>
    <w:rsid w:val="009D0C27"/>
    <w:rsid w:val="009D13B3"/>
    <w:rsid w:val="009D1D10"/>
    <w:rsid w:val="009D2BFB"/>
    <w:rsid w:val="009D307E"/>
    <w:rsid w:val="009D523A"/>
    <w:rsid w:val="009D5FA4"/>
    <w:rsid w:val="009D628B"/>
    <w:rsid w:val="009D68CE"/>
    <w:rsid w:val="009D7799"/>
    <w:rsid w:val="009D7948"/>
    <w:rsid w:val="009D7B92"/>
    <w:rsid w:val="009E027A"/>
    <w:rsid w:val="009E0676"/>
    <w:rsid w:val="009E25F5"/>
    <w:rsid w:val="009E42FF"/>
    <w:rsid w:val="009E4CA8"/>
    <w:rsid w:val="009E4EFF"/>
    <w:rsid w:val="009E5DC1"/>
    <w:rsid w:val="009E6759"/>
    <w:rsid w:val="009E697D"/>
    <w:rsid w:val="009E6A2F"/>
    <w:rsid w:val="009E7BE4"/>
    <w:rsid w:val="009F207A"/>
    <w:rsid w:val="009F2D89"/>
    <w:rsid w:val="009F3069"/>
    <w:rsid w:val="009F3072"/>
    <w:rsid w:val="009F416D"/>
    <w:rsid w:val="009F497A"/>
    <w:rsid w:val="009F4C35"/>
    <w:rsid w:val="009F75E6"/>
    <w:rsid w:val="00A0011E"/>
    <w:rsid w:val="00A02EFE"/>
    <w:rsid w:val="00A02FFB"/>
    <w:rsid w:val="00A03907"/>
    <w:rsid w:val="00A04527"/>
    <w:rsid w:val="00A118E6"/>
    <w:rsid w:val="00A1311C"/>
    <w:rsid w:val="00A1340A"/>
    <w:rsid w:val="00A137DE"/>
    <w:rsid w:val="00A141F1"/>
    <w:rsid w:val="00A148D8"/>
    <w:rsid w:val="00A15B8B"/>
    <w:rsid w:val="00A16353"/>
    <w:rsid w:val="00A16B9C"/>
    <w:rsid w:val="00A16D54"/>
    <w:rsid w:val="00A1701F"/>
    <w:rsid w:val="00A2046B"/>
    <w:rsid w:val="00A209CF"/>
    <w:rsid w:val="00A22534"/>
    <w:rsid w:val="00A22635"/>
    <w:rsid w:val="00A2371F"/>
    <w:rsid w:val="00A23D15"/>
    <w:rsid w:val="00A24BC4"/>
    <w:rsid w:val="00A24CAE"/>
    <w:rsid w:val="00A253D6"/>
    <w:rsid w:val="00A259AF"/>
    <w:rsid w:val="00A27671"/>
    <w:rsid w:val="00A27D60"/>
    <w:rsid w:val="00A310C2"/>
    <w:rsid w:val="00A32015"/>
    <w:rsid w:val="00A33425"/>
    <w:rsid w:val="00A335A2"/>
    <w:rsid w:val="00A33612"/>
    <w:rsid w:val="00A34EF1"/>
    <w:rsid w:val="00A3520A"/>
    <w:rsid w:val="00A37277"/>
    <w:rsid w:val="00A40027"/>
    <w:rsid w:val="00A41480"/>
    <w:rsid w:val="00A4183B"/>
    <w:rsid w:val="00A41BF1"/>
    <w:rsid w:val="00A420A0"/>
    <w:rsid w:val="00A436EA"/>
    <w:rsid w:val="00A45343"/>
    <w:rsid w:val="00A45679"/>
    <w:rsid w:val="00A46AA3"/>
    <w:rsid w:val="00A47028"/>
    <w:rsid w:val="00A50979"/>
    <w:rsid w:val="00A52DAA"/>
    <w:rsid w:val="00A53015"/>
    <w:rsid w:val="00A531BE"/>
    <w:rsid w:val="00A55BB0"/>
    <w:rsid w:val="00A5624E"/>
    <w:rsid w:val="00A57963"/>
    <w:rsid w:val="00A6095D"/>
    <w:rsid w:val="00A62514"/>
    <w:rsid w:val="00A633D7"/>
    <w:rsid w:val="00A6701A"/>
    <w:rsid w:val="00A70009"/>
    <w:rsid w:val="00A70122"/>
    <w:rsid w:val="00A70544"/>
    <w:rsid w:val="00A70F96"/>
    <w:rsid w:val="00A712C3"/>
    <w:rsid w:val="00A73EA4"/>
    <w:rsid w:val="00A803B4"/>
    <w:rsid w:val="00A807F8"/>
    <w:rsid w:val="00A82907"/>
    <w:rsid w:val="00A833E8"/>
    <w:rsid w:val="00A84592"/>
    <w:rsid w:val="00A8473C"/>
    <w:rsid w:val="00A848EE"/>
    <w:rsid w:val="00A84B7F"/>
    <w:rsid w:val="00A8534A"/>
    <w:rsid w:val="00A856D9"/>
    <w:rsid w:val="00A86930"/>
    <w:rsid w:val="00A86FC1"/>
    <w:rsid w:val="00A87D43"/>
    <w:rsid w:val="00A913F9"/>
    <w:rsid w:val="00A914E4"/>
    <w:rsid w:val="00A91DB6"/>
    <w:rsid w:val="00A920F1"/>
    <w:rsid w:val="00A9326F"/>
    <w:rsid w:val="00A933D4"/>
    <w:rsid w:val="00A93E94"/>
    <w:rsid w:val="00A94A54"/>
    <w:rsid w:val="00A94C26"/>
    <w:rsid w:val="00A96328"/>
    <w:rsid w:val="00A97063"/>
    <w:rsid w:val="00A97688"/>
    <w:rsid w:val="00AA0063"/>
    <w:rsid w:val="00AA03D6"/>
    <w:rsid w:val="00AA0D51"/>
    <w:rsid w:val="00AA171F"/>
    <w:rsid w:val="00AA1B5F"/>
    <w:rsid w:val="00AA59AA"/>
    <w:rsid w:val="00AA6CF0"/>
    <w:rsid w:val="00AA6ECB"/>
    <w:rsid w:val="00AB140C"/>
    <w:rsid w:val="00AB14CD"/>
    <w:rsid w:val="00AB36DA"/>
    <w:rsid w:val="00AB39D2"/>
    <w:rsid w:val="00AB3F9C"/>
    <w:rsid w:val="00AB5297"/>
    <w:rsid w:val="00AB714F"/>
    <w:rsid w:val="00AC0A9D"/>
    <w:rsid w:val="00AC1117"/>
    <w:rsid w:val="00AC14FF"/>
    <w:rsid w:val="00AC24CA"/>
    <w:rsid w:val="00AC36A6"/>
    <w:rsid w:val="00AC37DB"/>
    <w:rsid w:val="00AC46CC"/>
    <w:rsid w:val="00AC6664"/>
    <w:rsid w:val="00AC7673"/>
    <w:rsid w:val="00AD155F"/>
    <w:rsid w:val="00AD1AC7"/>
    <w:rsid w:val="00AD227D"/>
    <w:rsid w:val="00AD4671"/>
    <w:rsid w:val="00AD679B"/>
    <w:rsid w:val="00AD7374"/>
    <w:rsid w:val="00AD7815"/>
    <w:rsid w:val="00AD79CF"/>
    <w:rsid w:val="00AE1E92"/>
    <w:rsid w:val="00AE393B"/>
    <w:rsid w:val="00AE3EE3"/>
    <w:rsid w:val="00AE3F64"/>
    <w:rsid w:val="00AE48CA"/>
    <w:rsid w:val="00AE4948"/>
    <w:rsid w:val="00AE5324"/>
    <w:rsid w:val="00AE7CFF"/>
    <w:rsid w:val="00AF1740"/>
    <w:rsid w:val="00AF2EF3"/>
    <w:rsid w:val="00AF4B62"/>
    <w:rsid w:val="00AF729F"/>
    <w:rsid w:val="00B00033"/>
    <w:rsid w:val="00B001E5"/>
    <w:rsid w:val="00B00955"/>
    <w:rsid w:val="00B01B0E"/>
    <w:rsid w:val="00B01EDA"/>
    <w:rsid w:val="00B0317C"/>
    <w:rsid w:val="00B04AA4"/>
    <w:rsid w:val="00B04C42"/>
    <w:rsid w:val="00B0670D"/>
    <w:rsid w:val="00B1113B"/>
    <w:rsid w:val="00B1167F"/>
    <w:rsid w:val="00B11E94"/>
    <w:rsid w:val="00B122E0"/>
    <w:rsid w:val="00B129A5"/>
    <w:rsid w:val="00B13601"/>
    <w:rsid w:val="00B154F7"/>
    <w:rsid w:val="00B2021A"/>
    <w:rsid w:val="00B209AF"/>
    <w:rsid w:val="00B20D6A"/>
    <w:rsid w:val="00B2100F"/>
    <w:rsid w:val="00B21D0F"/>
    <w:rsid w:val="00B24F8B"/>
    <w:rsid w:val="00B2581E"/>
    <w:rsid w:val="00B31E12"/>
    <w:rsid w:val="00B362E5"/>
    <w:rsid w:val="00B377A9"/>
    <w:rsid w:val="00B4092B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1FDE"/>
    <w:rsid w:val="00B53370"/>
    <w:rsid w:val="00B53BC4"/>
    <w:rsid w:val="00B605E7"/>
    <w:rsid w:val="00B614DA"/>
    <w:rsid w:val="00B61E4A"/>
    <w:rsid w:val="00B63D52"/>
    <w:rsid w:val="00B63F26"/>
    <w:rsid w:val="00B65C56"/>
    <w:rsid w:val="00B6627C"/>
    <w:rsid w:val="00B66E13"/>
    <w:rsid w:val="00B70AAF"/>
    <w:rsid w:val="00B722EC"/>
    <w:rsid w:val="00B72C01"/>
    <w:rsid w:val="00B72D96"/>
    <w:rsid w:val="00B753A3"/>
    <w:rsid w:val="00B754ED"/>
    <w:rsid w:val="00B7572B"/>
    <w:rsid w:val="00B7642C"/>
    <w:rsid w:val="00B7662C"/>
    <w:rsid w:val="00B806A7"/>
    <w:rsid w:val="00B8117A"/>
    <w:rsid w:val="00B8166A"/>
    <w:rsid w:val="00B81F26"/>
    <w:rsid w:val="00B82CBA"/>
    <w:rsid w:val="00B84158"/>
    <w:rsid w:val="00B86AAF"/>
    <w:rsid w:val="00B910BB"/>
    <w:rsid w:val="00B910CE"/>
    <w:rsid w:val="00B92F51"/>
    <w:rsid w:val="00B93E16"/>
    <w:rsid w:val="00B96228"/>
    <w:rsid w:val="00B964C4"/>
    <w:rsid w:val="00BA24B3"/>
    <w:rsid w:val="00BA2779"/>
    <w:rsid w:val="00BA391D"/>
    <w:rsid w:val="00BA6D92"/>
    <w:rsid w:val="00BB0A2D"/>
    <w:rsid w:val="00BB2CE4"/>
    <w:rsid w:val="00BB36B1"/>
    <w:rsid w:val="00BB529A"/>
    <w:rsid w:val="00BB5F33"/>
    <w:rsid w:val="00BB6D7B"/>
    <w:rsid w:val="00BB7981"/>
    <w:rsid w:val="00BC09E7"/>
    <w:rsid w:val="00BC349B"/>
    <w:rsid w:val="00BC3D84"/>
    <w:rsid w:val="00BC4A7A"/>
    <w:rsid w:val="00BC6C04"/>
    <w:rsid w:val="00BC74EB"/>
    <w:rsid w:val="00BD03B4"/>
    <w:rsid w:val="00BD1251"/>
    <w:rsid w:val="00BD1D8E"/>
    <w:rsid w:val="00BD1F09"/>
    <w:rsid w:val="00BD2F0B"/>
    <w:rsid w:val="00BD5E54"/>
    <w:rsid w:val="00BD6F8F"/>
    <w:rsid w:val="00BE03ED"/>
    <w:rsid w:val="00BE0623"/>
    <w:rsid w:val="00BE16D9"/>
    <w:rsid w:val="00BE19FD"/>
    <w:rsid w:val="00BE3B4F"/>
    <w:rsid w:val="00BE6D4B"/>
    <w:rsid w:val="00BE7724"/>
    <w:rsid w:val="00BE7D82"/>
    <w:rsid w:val="00BF0508"/>
    <w:rsid w:val="00BF15EA"/>
    <w:rsid w:val="00BF2955"/>
    <w:rsid w:val="00BF2B6A"/>
    <w:rsid w:val="00BF3EA9"/>
    <w:rsid w:val="00BF5B2D"/>
    <w:rsid w:val="00BF649F"/>
    <w:rsid w:val="00BF7D3E"/>
    <w:rsid w:val="00C00A1B"/>
    <w:rsid w:val="00C00ADD"/>
    <w:rsid w:val="00C01C9D"/>
    <w:rsid w:val="00C02189"/>
    <w:rsid w:val="00C02EB7"/>
    <w:rsid w:val="00C10277"/>
    <w:rsid w:val="00C118A6"/>
    <w:rsid w:val="00C123DF"/>
    <w:rsid w:val="00C14227"/>
    <w:rsid w:val="00C14D9B"/>
    <w:rsid w:val="00C1530C"/>
    <w:rsid w:val="00C15C7B"/>
    <w:rsid w:val="00C15CCA"/>
    <w:rsid w:val="00C17EC4"/>
    <w:rsid w:val="00C20CCA"/>
    <w:rsid w:val="00C24FEE"/>
    <w:rsid w:val="00C251AE"/>
    <w:rsid w:val="00C2563C"/>
    <w:rsid w:val="00C26C08"/>
    <w:rsid w:val="00C303B5"/>
    <w:rsid w:val="00C32523"/>
    <w:rsid w:val="00C33F0A"/>
    <w:rsid w:val="00C3633C"/>
    <w:rsid w:val="00C36C90"/>
    <w:rsid w:val="00C379DE"/>
    <w:rsid w:val="00C41FCB"/>
    <w:rsid w:val="00C42E23"/>
    <w:rsid w:val="00C43B27"/>
    <w:rsid w:val="00C50D0A"/>
    <w:rsid w:val="00C53B18"/>
    <w:rsid w:val="00C53D7B"/>
    <w:rsid w:val="00C53EEC"/>
    <w:rsid w:val="00C55D07"/>
    <w:rsid w:val="00C57165"/>
    <w:rsid w:val="00C60EB5"/>
    <w:rsid w:val="00C6106A"/>
    <w:rsid w:val="00C61F30"/>
    <w:rsid w:val="00C6245D"/>
    <w:rsid w:val="00C63433"/>
    <w:rsid w:val="00C63877"/>
    <w:rsid w:val="00C6499F"/>
    <w:rsid w:val="00C64ABA"/>
    <w:rsid w:val="00C72049"/>
    <w:rsid w:val="00C72A27"/>
    <w:rsid w:val="00C72F12"/>
    <w:rsid w:val="00C73ED3"/>
    <w:rsid w:val="00C73FD8"/>
    <w:rsid w:val="00C7533F"/>
    <w:rsid w:val="00C76010"/>
    <w:rsid w:val="00C77248"/>
    <w:rsid w:val="00C80E98"/>
    <w:rsid w:val="00C8120F"/>
    <w:rsid w:val="00C83CD8"/>
    <w:rsid w:val="00C8598C"/>
    <w:rsid w:val="00C85E56"/>
    <w:rsid w:val="00C872DF"/>
    <w:rsid w:val="00C920F8"/>
    <w:rsid w:val="00C9508E"/>
    <w:rsid w:val="00C95E48"/>
    <w:rsid w:val="00C96864"/>
    <w:rsid w:val="00C974C7"/>
    <w:rsid w:val="00CA4496"/>
    <w:rsid w:val="00CA595B"/>
    <w:rsid w:val="00CA64E8"/>
    <w:rsid w:val="00CA653C"/>
    <w:rsid w:val="00CA7B37"/>
    <w:rsid w:val="00CB1076"/>
    <w:rsid w:val="00CB112F"/>
    <w:rsid w:val="00CB2C93"/>
    <w:rsid w:val="00CB514C"/>
    <w:rsid w:val="00CB5A8A"/>
    <w:rsid w:val="00CB63DF"/>
    <w:rsid w:val="00CB7446"/>
    <w:rsid w:val="00CC09B8"/>
    <w:rsid w:val="00CC1A4C"/>
    <w:rsid w:val="00CC314F"/>
    <w:rsid w:val="00CC5160"/>
    <w:rsid w:val="00CC64E8"/>
    <w:rsid w:val="00CC6931"/>
    <w:rsid w:val="00CD381A"/>
    <w:rsid w:val="00CD7E5D"/>
    <w:rsid w:val="00CE10DA"/>
    <w:rsid w:val="00CE1624"/>
    <w:rsid w:val="00CE42CE"/>
    <w:rsid w:val="00CE5CDD"/>
    <w:rsid w:val="00CE5EF9"/>
    <w:rsid w:val="00CE679C"/>
    <w:rsid w:val="00CF0903"/>
    <w:rsid w:val="00CF1764"/>
    <w:rsid w:val="00CF3529"/>
    <w:rsid w:val="00CF4079"/>
    <w:rsid w:val="00CF4700"/>
    <w:rsid w:val="00CF4A12"/>
    <w:rsid w:val="00CF69F8"/>
    <w:rsid w:val="00CF76A4"/>
    <w:rsid w:val="00CF7AF1"/>
    <w:rsid w:val="00D00241"/>
    <w:rsid w:val="00D00F73"/>
    <w:rsid w:val="00D01860"/>
    <w:rsid w:val="00D0259B"/>
    <w:rsid w:val="00D03046"/>
    <w:rsid w:val="00D03C63"/>
    <w:rsid w:val="00D04FB7"/>
    <w:rsid w:val="00D0574A"/>
    <w:rsid w:val="00D05DDE"/>
    <w:rsid w:val="00D05FE6"/>
    <w:rsid w:val="00D11349"/>
    <w:rsid w:val="00D113D0"/>
    <w:rsid w:val="00D11D04"/>
    <w:rsid w:val="00D12F80"/>
    <w:rsid w:val="00D13AE3"/>
    <w:rsid w:val="00D13EAE"/>
    <w:rsid w:val="00D16660"/>
    <w:rsid w:val="00D21DB0"/>
    <w:rsid w:val="00D23039"/>
    <w:rsid w:val="00D26A2C"/>
    <w:rsid w:val="00D26E3A"/>
    <w:rsid w:val="00D31FAA"/>
    <w:rsid w:val="00D3575F"/>
    <w:rsid w:val="00D36E6A"/>
    <w:rsid w:val="00D40985"/>
    <w:rsid w:val="00D42A44"/>
    <w:rsid w:val="00D42BF7"/>
    <w:rsid w:val="00D44368"/>
    <w:rsid w:val="00D44666"/>
    <w:rsid w:val="00D4524D"/>
    <w:rsid w:val="00D467C0"/>
    <w:rsid w:val="00D47234"/>
    <w:rsid w:val="00D50D92"/>
    <w:rsid w:val="00D51CC0"/>
    <w:rsid w:val="00D51D16"/>
    <w:rsid w:val="00D530FC"/>
    <w:rsid w:val="00D53A6A"/>
    <w:rsid w:val="00D56706"/>
    <w:rsid w:val="00D57A01"/>
    <w:rsid w:val="00D60393"/>
    <w:rsid w:val="00D6204B"/>
    <w:rsid w:val="00D62BA5"/>
    <w:rsid w:val="00D732CF"/>
    <w:rsid w:val="00D742E8"/>
    <w:rsid w:val="00D7544F"/>
    <w:rsid w:val="00D764C6"/>
    <w:rsid w:val="00D768DA"/>
    <w:rsid w:val="00D77E16"/>
    <w:rsid w:val="00D80109"/>
    <w:rsid w:val="00D8290D"/>
    <w:rsid w:val="00D83F1B"/>
    <w:rsid w:val="00D84772"/>
    <w:rsid w:val="00D8632D"/>
    <w:rsid w:val="00D865E2"/>
    <w:rsid w:val="00D86910"/>
    <w:rsid w:val="00D90BB7"/>
    <w:rsid w:val="00D90EED"/>
    <w:rsid w:val="00D91108"/>
    <w:rsid w:val="00D924D7"/>
    <w:rsid w:val="00D92CBD"/>
    <w:rsid w:val="00D94B47"/>
    <w:rsid w:val="00D94FDE"/>
    <w:rsid w:val="00D951E4"/>
    <w:rsid w:val="00D955A0"/>
    <w:rsid w:val="00D9650F"/>
    <w:rsid w:val="00D96F26"/>
    <w:rsid w:val="00DA0EB0"/>
    <w:rsid w:val="00DA14C1"/>
    <w:rsid w:val="00DA2353"/>
    <w:rsid w:val="00DA579B"/>
    <w:rsid w:val="00DA5EAA"/>
    <w:rsid w:val="00DA6931"/>
    <w:rsid w:val="00DA7B6D"/>
    <w:rsid w:val="00DB093D"/>
    <w:rsid w:val="00DB15A4"/>
    <w:rsid w:val="00DB5BF6"/>
    <w:rsid w:val="00DC0284"/>
    <w:rsid w:val="00DC1135"/>
    <w:rsid w:val="00DC11B2"/>
    <w:rsid w:val="00DC1E01"/>
    <w:rsid w:val="00DC300E"/>
    <w:rsid w:val="00DC3725"/>
    <w:rsid w:val="00DC4384"/>
    <w:rsid w:val="00DC506A"/>
    <w:rsid w:val="00DC52AF"/>
    <w:rsid w:val="00DC620A"/>
    <w:rsid w:val="00DC7541"/>
    <w:rsid w:val="00DC7A7B"/>
    <w:rsid w:val="00DD019D"/>
    <w:rsid w:val="00DD0B7A"/>
    <w:rsid w:val="00DD2ACC"/>
    <w:rsid w:val="00DD3517"/>
    <w:rsid w:val="00DD42F7"/>
    <w:rsid w:val="00DD5151"/>
    <w:rsid w:val="00DE10A1"/>
    <w:rsid w:val="00DE1D06"/>
    <w:rsid w:val="00DE208C"/>
    <w:rsid w:val="00DE3D87"/>
    <w:rsid w:val="00DE52C8"/>
    <w:rsid w:val="00DE5A24"/>
    <w:rsid w:val="00DE64A6"/>
    <w:rsid w:val="00DE6624"/>
    <w:rsid w:val="00DE6F84"/>
    <w:rsid w:val="00DE7B8F"/>
    <w:rsid w:val="00DF07EA"/>
    <w:rsid w:val="00DF0822"/>
    <w:rsid w:val="00DF1C1C"/>
    <w:rsid w:val="00DF2E3A"/>
    <w:rsid w:val="00DF30B2"/>
    <w:rsid w:val="00DF3A69"/>
    <w:rsid w:val="00DF5772"/>
    <w:rsid w:val="00DF6A8D"/>
    <w:rsid w:val="00DF734E"/>
    <w:rsid w:val="00E00401"/>
    <w:rsid w:val="00E0064E"/>
    <w:rsid w:val="00E00C0E"/>
    <w:rsid w:val="00E024FD"/>
    <w:rsid w:val="00E036C5"/>
    <w:rsid w:val="00E03B7D"/>
    <w:rsid w:val="00E046AF"/>
    <w:rsid w:val="00E04AA7"/>
    <w:rsid w:val="00E04FD0"/>
    <w:rsid w:val="00E05483"/>
    <w:rsid w:val="00E0565D"/>
    <w:rsid w:val="00E06077"/>
    <w:rsid w:val="00E066F1"/>
    <w:rsid w:val="00E11E3E"/>
    <w:rsid w:val="00E121C1"/>
    <w:rsid w:val="00E12E0F"/>
    <w:rsid w:val="00E13783"/>
    <w:rsid w:val="00E14FA8"/>
    <w:rsid w:val="00E1551F"/>
    <w:rsid w:val="00E16304"/>
    <w:rsid w:val="00E17266"/>
    <w:rsid w:val="00E17A53"/>
    <w:rsid w:val="00E231F0"/>
    <w:rsid w:val="00E24E40"/>
    <w:rsid w:val="00E25D1C"/>
    <w:rsid w:val="00E26559"/>
    <w:rsid w:val="00E27302"/>
    <w:rsid w:val="00E30016"/>
    <w:rsid w:val="00E305E7"/>
    <w:rsid w:val="00E3086F"/>
    <w:rsid w:val="00E32352"/>
    <w:rsid w:val="00E34386"/>
    <w:rsid w:val="00E3457D"/>
    <w:rsid w:val="00E34646"/>
    <w:rsid w:val="00E348AE"/>
    <w:rsid w:val="00E34F46"/>
    <w:rsid w:val="00E35263"/>
    <w:rsid w:val="00E355DA"/>
    <w:rsid w:val="00E35B20"/>
    <w:rsid w:val="00E36103"/>
    <w:rsid w:val="00E418BE"/>
    <w:rsid w:val="00E42ED3"/>
    <w:rsid w:val="00E4359F"/>
    <w:rsid w:val="00E45123"/>
    <w:rsid w:val="00E5146A"/>
    <w:rsid w:val="00E51951"/>
    <w:rsid w:val="00E51C55"/>
    <w:rsid w:val="00E5204F"/>
    <w:rsid w:val="00E5491D"/>
    <w:rsid w:val="00E54DE8"/>
    <w:rsid w:val="00E56680"/>
    <w:rsid w:val="00E56920"/>
    <w:rsid w:val="00E603D3"/>
    <w:rsid w:val="00E61524"/>
    <w:rsid w:val="00E625B5"/>
    <w:rsid w:val="00E63217"/>
    <w:rsid w:val="00E645C5"/>
    <w:rsid w:val="00E66665"/>
    <w:rsid w:val="00E67313"/>
    <w:rsid w:val="00E7050D"/>
    <w:rsid w:val="00E70F6F"/>
    <w:rsid w:val="00E71F55"/>
    <w:rsid w:val="00E72A86"/>
    <w:rsid w:val="00E73ADB"/>
    <w:rsid w:val="00E753B2"/>
    <w:rsid w:val="00E75C48"/>
    <w:rsid w:val="00E75F0F"/>
    <w:rsid w:val="00E763EB"/>
    <w:rsid w:val="00E76C99"/>
    <w:rsid w:val="00E76CEB"/>
    <w:rsid w:val="00E7705E"/>
    <w:rsid w:val="00E77957"/>
    <w:rsid w:val="00E77E03"/>
    <w:rsid w:val="00E81FF9"/>
    <w:rsid w:val="00E85372"/>
    <w:rsid w:val="00E85CE2"/>
    <w:rsid w:val="00E90D48"/>
    <w:rsid w:val="00E925EC"/>
    <w:rsid w:val="00E9495E"/>
    <w:rsid w:val="00E966C7"/>
    <w:rsid w:val="00E96DC7"/>
    <w:rsid w:val="00E97D89"/>
    <w:rsid w:val="00EA386A"/>
    <w:rsid w:val="00EA3D27"/>
    <w:rsid w:val="00EA488D"/>
    <w:rsid w:val="00EA523F"/>
    <w:rsid w:val="00EA58CD"/>
    <w:rsid w:val="00EA6146"/>
    <w:rsid w:val="00EA6828"/>
    <w:rsid w:val="00EA6A4E"/>
    <w:rsid w:val="00EA6EB8"/>
    <w:rsid w:val="00EB08BC"/>
    <w:rsid w:val="00EB0D40"/>
    <w:rsid w:val="00EB20E0"/>
    <w:rsid w:val="00EB2556"/>
    <w:rsid w:val="00EB384A"/>
    <w:rsid w:val="00EB44A8"/>
    <w:rsid w:val="00EB48B2"/>
    <w:rsid w:val="00EB52E0"/>
    <w:rsid w:val="00EB559D"/>
    <w:rsid w:val="00EB68D6"/>
    <w:rsid w:val="00EC0323"/>
    <w:rsid w:val="00EC0D48"/>
    <w:rsid w:val="00EC194A"/>
    <w:rsid w:val="00EC45BF"/>
    <w:rsid w:val="00EC4AD1"/>
    <w:rsid w:val="00EC56EC"/>
    <w:rsid w:val="00EC61C3"/>
    <w:rsid w:val="00EC69D6"/>
    <w:rsid w:val="00ED0685"/>
    <w:rsid w:val="00ED0B5D"/>
    <w:rsid w:val="00ED17AD"/>
    <w:rsid w:val="00ED34F5"/>
    <w:rsid w:val="00ED39C4"/>
    <w:rsid w:val="00ED524E"/>
    <w:rsid w:val="00ED59A3"/>
    <w:rsid w:val="00EE0598"/>
    <w:rsid w:val="00EE0660"/>
    <w:rsid w:val="00EE0A13"/>
    <w:rsid w:val="00EE2641"/>
    <w:rsid w:val="00EE2716"/>
    <w:rsid w:val="00EE3B4A"/>
    <w:rsid w:val="00EE4B95"/>
    <w:rsid w:val="00EE6538"/>
    <w:rsid w:val="00EE7206"/>
    <w:rsid w:val="00EF017C"/>
    <w:rsid w:val="00EF08CF"/>
    <w:rsid w:val="00EF189F"/>
    <w:rsid w:val="00EF1A03"/>
    <w:rsid w:val="00EF5D82"/>
    <w:rsid w:val="00EF5F40"/>
    <w:rsid w:val="00EF6243"/>
    <w:rsid w:val="00EF682C"/>
    <w:rsid w:val="00EF7894"/>
    <w:rsid w:val="00EF79EE"/>
    <w:rsid w:val="00EF7FA4"/>
    <w:rsid w:val="00F001AE"/>
    <w:rsid w:val="00F024AA"/>
    <w:rsid w:val="00F03496"/>
    <w:rsid w:val="00F03D4B"/>
    <w:rsid w:val="00F04CCC"/>
    <w:rsid w:val="00F05349"/>
    <w:rsid w:val="00F07FF3"/>
    <w:rsid w:val="00F12CA7"/>
    <w:rsid w:val="00F12DF0"/>
    <w:rsid w:val="00F13704"/>
    <w:rsid w:val="00F20FDF"/>
    <w:rsid w:val="00F21C48"/>
    <w:rsid w:val="00F22F57"/>
    <w:rsid w:val="00F2403A"/>
    <w:rsid w:val="00F278FD"/>
    <w:rsid w:val="00F27AC1"/>
    <w:rsid w:val="00F31E9D"/>
    <w:rsid w:val="00F3304C"/>
    <w:rsid w:val="00F338D6"/>
    <w:rsid w:val="00F33C9B"/>
    <w:rsid w:val="00F345B1"/>
    <w:rsid w:val="00F34692"/>
    <w:rsid w:val="00F37093"/>
    <w:rsid w:val="00F40921"/>
    <w:rsid w:val="00F429F4"/>
    <w:rsid w:val="00F43EC7"/>
    <w:rsid w:val="00F44551"/>
    <w:rsid w:val="00F4576B"/>
    <w:rsid w:val="00F45E09"/>
    <w:rsid w:val="00F53B12"/>
    <w:rsid w:val="00F54B10"/>
    <w:rsid w:val="00F54DC7"/>
    <w:rsid w:val="00F54FED"/>
    <w:rsid w:val="00F60011"/>
    <w:rsid w:val="00F600DE"/>
    <w:rsid w:val="00F60136"/>
    <w:rsid w:val="00F60F63"/>
    <w:rsid w:val="00F61629"/>
    <w:rsid w:val="00F62B85"/>
    <w:rsid w:val="00F636DE"/>
    <w:rsid w:val="00F63E4D"/>
    <w:rsid w:val="00F70892"/>
    <w:rsid w:val="00F712BD"/>
    <w:rsid w:val="00F72AAF"/>
    <w:rsid w:val="00F72E87"/>
    <w:rsid w:val="00F745FE"/>
    <w:rsid w:val="00F74C3C"/>
    <w:rsid w:val="00F74E42"/>
    <w:rsid w:val="00F76671"/>
    <w:rsid w:val="00F7707B"/>
    <w:rsid w:val="00F770F7"/>
    <w:rsid w:val="00F77462"/>
    <w:rsid w:val="00F77A27"/>
    <w:rsid w:val="00F804B2"/>
    <w:rsid w:val="00F813A8"/>
    <w:rsid w:val="00F81AEB"/>
    <w:rsid w:val="00F83202"/>
    <w:rsid w:val="00F8337F"/>
    <w:rsid w:val="00F84457"/>
    <w:rsid w:val="00F85E49"/>
    <w:rsid w:val="00F86C77"/>
    <w:rsid w:val="00F879E7"/>
    <w:rsid w:val="00F9095A"/>
    <w:rsid w:val="00F92300"/>
    <w:rsid w:val="00F92B4A"/>
    <w:rsid w:val="00FA01CD"/>
    <w:rsid w:val="00FA085A"/>
    <w:rsid w:val="00FA23DB"/>
    <w:rsid w:val="00FA3E67"/>
    <w:rsid w:val="00FA5C98"/>
    <w:rsid w:val="00FB1A93"/>
    <w:rsid w:val="00FB3B7B"/>
    <w:rsid w:val="00FB5962"/>
    <w:rsid w:val="00FC38A6"/>
    <w:rsid w:val="00FC4B58"/>
    <w:rsid w:val="00FC7121"/>
    <w:rsid w:val="00FC7B30"/>
    <w:rsid w:val="00FD14C9"/>
    <w:rsid w:val="00FD1792"/>
    <w:rsid w:val="00FD1E76"/>
    <w:rsid w:val="00FD22FC"/>
    <w:rsid w:val="00FD26D0"/>
    <w:rsid w:val="00FD2701"/>
    <w:rsid w:val="00FD2F5D"/>
    <w:rsid w:val="00FD341F"/>
    <w:rsid w:val="00FD3564"/>
    <w:rsid w:val="00FD4968"/>
    <w:rsid w:val="00FD4B11"/>
    <w:rsid w:val="00FD4C73"/>
    <w:rsid w:val="00FD729A"/>
    <w:rsid w:val="00FD795B"/>
    <w:rsid w:val="00FD7AE2"/>
    <w:rsid w:val="00FD7BC6"/>
    <w:rsid w:val="00FE0120"/>
    <w:rsid w:val="00FE06C7"/>
    <w:rsid w:val="00FE2E7D"/>
    <w:rsid w:val="00FE38E7"/>
    <w:rsid w:val="00FE4165"/>
    <w:rsid w:val="00FE5CEC"/>
    <w:rsid w:val="00FF0ACF"/>
    <w:rsid w:val="00FF1EB8"/>
    <w:rsid w:val="00FF5A4C"/>
    <w:rsid w:val="00FF6E54"/>
    <w:rsid w:val="00FF704E"/>
    <w:rsid w:val="00FF73F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chartTrackingRefBased/>
  <w15:docId w15:val="{35E56E8F-26C6-4B8B-9521-B9535DB0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  <w:style w:type="character" w:styleId="af2">
    <w:name w:val="Hyperlink"/>
    <w:basedOn w:val="a0"/>
    <w:uiPriority w:val="99"/>
    <w:semiHidden/>
    <w:unhideWhenUsed/>
    <w:rsid w:val="00DB0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E878-E9E4-4E4D-91C2-0D9979E0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1510</Words>
  <Characters>8612</Characters>
  <Application>Microsoft Office Word</Application>
  <DocSecurity>0</DocSecurity>
  <Lines>71</Lines>
  <Paragraphs>20</Paragraphs>
  <ScaleCrop>false</ScaleCrop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安娜统计与临床</cp:lastModifiedBy>
  <cp:revision>15</cp:revision>
  <cp:lastPrinted>2020-09-25T03:59:00Z</cp:lastPrinted>
  <dcterms:created xsi:type="dcterms:W3CDTF">2020-12-28T02:15:00Z</dcterms:created>
  <dcterms:modified xsi:type="dcterms:W3CDTF">2021-01-04T03:53:00Z</dcterms:modified>
</cp:coreProperties>
</file>